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C5E" w:rsidRDefault="00AE5C5E" w:rsidP="00C66AF0">
      <w:pPr>
        <w:pStyle w:val="Title"/>
        <w:jc w:val="center"/>
      </w:pPr>
      <w:proofErr w:type="spellStart"/>
      <w:r>
        <w:t>Power-to-Meth</w:t>
      </w:r>
      <w:r w:rsidR="0054475F">
        <w:t>ane</w:t>
      </w:r>
      <w:proofErr w:type="spellEnd"/>
      <w:r>
        <w:t xml:space="preserve"> technológia</w:t>
      </w:r>
      <w:r w:rsidR="0054475F">
        <w:t>:</w:t>
      </w:r>
      <w:r>
        <w:t xml:space="preserve"> műszaki összeg</w:t>
      </w:r>
      <w:r w:rsidR="0054475F">
        <w:t>zés és esettanulmány</w:t>
      </w:r>
    </w:p>
    <w:p w:rsidR="0054475F" w:rsidRDefault="00D01C77" w:rsidP="00C66AF0">
      <w:pPr>
        <w:pStyle w:val="Title"/>
        <w:jc w:val="center"/>
      </w:pPr>
      <w:proofErr w:type="spellStart"/>
      <w:r w:rsidRPr="00D01C77">
        <w:t>Power-to-Methane</w:t>
      </w:r>
      <w:proofErr w:type="spellEnd"/>
      <w:r w:rsidRPr="00D01C77">
        <w:t xml:space="preserve"> </w:t>
      </w:r>
      <w:proofErr w:type="spellStart"/>
      <w:r w:rsidRPr="00D01C77">
        <w:t>technology</w:t>
      </w:r>
      <w:proofErr w:type="spellEnd"/>
      <w:r w:rsidRPr="00D01C77">
        <w:t xml:space="preserve">: </w:t>
      </w:r>
      <w:proofErr w:type="spellStart"/>
      <w:r w:rsidRPr="00D01C77">
        <w:t>technical</w:t>
      </w:r>
      <w:proofErr w:type="spellEnd"/>
      <w:r w:rsidRPr="00D01C77">
        <w:t xml:space="preserve"> </w:t>
      </w:r>
      <w:proofErr w:type="spellStart"/>
      <w:r w:rsidRPr="00D01C77">
        <w:t>summary</w:t>
      </w:r>
      <w:proofErr w:type="spellEnd"/>
      <w:r w:rsidRPr="00D01C77">
        <w:t xml:space="preserve"> and </w:t>
      </w:r>
      <w:proofErr w:type="spellStart"/>
      <w:r w:rsidRPr="00D01C77">
        <w:t>case</w:t>
      </w:r>
      <w:proofErr w:type="spellEnd"/>
      <w:r w:rsidRPr="00D01C77">
        <w:t xml:space="preserve"> </w:t>
      </w:r>
      <w:proofErr w:type="spellStart"/>
      <w:r w:rsidRPr="00D01C77">
        <w:t>study</w:t>
      </w:r>
      <w:proofErr w:type="spellEnd"/>
    </w:p>
    <w:p w:rsidR="00D01C77" w:rsidRDefault="00D01C77">
      <w:pPr>
        <w:rPr>
          <w:b/>
        </w:rPr>
      </w:pPr>
    </w:p>
    <w:p w:rsidR="00C66AF0" w:rsidRPr="00C66AF0" w:rsidRDefault="00C66AF0" w:rsidP="00C66AF0">
      <w:pPr>
        <w:jc w:val="center"/>
        <w:rPr>
          <w:sz w:val="24"/>
          <w:szCs w:val="24"/>
        </w:rPr>
      </w:pPr>
      <w:proofErr w:type="spellStart"/>
      <w:r w:rsidRPr="00C66AF0">
        <w:rPr>
          <w:sz w:val="24"/>
          <w:szCs w:val="24"/>
        </w:rPr>
        <w:t>Groniewsky</w:t>
      </w:r>
      <w:proofErr w:type="spellEnd"/>
      <w:r w:rsidRPr="00C66AF0">
        <w:rPr>
          <w:sz w:val="24"/>
          <w:szCs w:val="24"/>
        </w:rPr>
        <w:t xml:space="preserve"> Axel</w:t>
      </w:r>
      <w:r w:rsidRPr="00C66AF0">
        <w:rPr>
          <w:sz w:val="24"/>
          <w:szCs w:val="24"/>
          <w:vertAlign w:val="superscript"/>
        </w:rPr>
        <w:t>1</w:t>
      </w:r>
      <w:r w:rsidRPr="00C66AF0">
        <w:rPr>
          <w:sz w:val="24"/>
          <w:szCs w:val="24"/>
        </w:rPr>
        <w:t xml:space="preserve">, </w:t>
      </w:r>
      <w:proofErr w:type="spellStart"/>
      <w:r w:rsidRPr="00C66AF0">
        <w:rPr>
          <w:sz w:val="24"/>
          <w:szCs w:val="24"/>
        </w:rPr>
        <w:t>Kustán</w:t>
      </w:r>
      <w:proofErr w:type="spellEnd"/>
      <w:r w:rsidRPr="00C66AF0">
        <w:rPr>
          <w:sz w:val="24"/>
          <w:szCs w:val="24"/>
        </w:rPr>
        <w:t xml:space="preserve"> Réka</w:t>
      </w:r>
      <w:r w:rsidRPr="00C66AF0">
        <w:rPr>
          <w:sz w:val="24"/>
          <w:szCs w:val="24"/>
          <w:vertAlign w:val="superscript"/>
        </w:rPr>
        <w:t>1</w:t>
      </w:r>
      <w:r w:rsidRPr="00C66AF0">
        <w:rPr>
          <w:sz w:val="24"/>
          <w:szCs w:val="24"/>
        </w:rPr>
        <w:t xml:space="preserve"> és Imre Attila</w:t>
      </w:r>
      <w:r w:rsidRPr="00C66AF0">
        <w:rPr>
          <w:sz w:val="24"/>
          <w:szCs w:val="24"/>
          <w:vertAlign w:val="superscript"/>
        </w:rPr>
        <w:t>1,2</w:t>
      </w:r>
    </w:p>
    <w:p w:rsidR="00707C44" w:rsidRPr="00C66AF0" w:rsidRDefault="00C66AF0" w:rsidP="00C66AF0">
      <w:pPr>
        <w:jc w:val="center"/>
        <w:rPr>
          <w:sz w:val="24"/>
          <w:szCs w:val="24"/>
        </w:rPr>
      </w:pPr>
      <w:r w:rsidRPr="00C66AF0">
        <w:rPr>
          <w:sz w:val="24"/>
          <w:szCs w:val="24"/>
        </w:rPr>
        <w:t xml:space="preserve">(1) </w:t>
      </w:r>
      <w:r w:rsidR="00425D0A">
        <w:rPr>
          <w:sz w:val="24"/>
          <w:szCs w:val="24"/>
        </w:rPr>
        <w:t>Energetikai Gépek és Rendszerek T</w:t>
      </w:r>
      <w:r w:rsidR="004E7F14">
        <w:rPr>
          <w:sz w:val="24"/>
          <w:szCs w:val="24"/>
        </w:rPr>
        <w:t>an</w:t>
      </w:r>
      <w:r w:rsidR="00425D0A">
        <w:rPr>
          <w:sz w:val="24"/>
          <w:szCs w:val="24"/>
        </w:rPr>
        <w:t>sz</w:t>
      </w:r>
      <w:r w:rsidR="004E7F14">
        <w:rPr>
          <w:sz w:val="24"/>
          <w:szCs w:val="24"/>
        </w:rPr>
        <w:t>ék</w:t>
      </w:r>
      <w:r w:rsidR="00310074">
        <w:rPr>
          <w:sz w:val="24"/>
          <w:szCs w:val="24"/>
        </w:rPr>
        <w:t>,</w:t>
      </w:r>
      <w:r w:rsidR="00425D0A">
        <w:rPr>
          <w:sz w:val="24"/>
          <w:szCs w:val="24"/>
        </w:rPr>
        <w:t xml:space="preserve"> Gépészmérnöki Kar</w:t>
      </w:r>
      <w:r w:rsidR="00310074">
        <w:rPr>
          <w:sz w:val="24"/>
          <w:szCs w:val="24"/>
        </w:rPr>
        <w:t>,</w:t>
      </w:r>
      <w:r w:rsidR="00425D0A">
        <w:rPr>
          <w:sz w:val="24"/>
          <w:szCs w:val="24"/>
        </w:rPr>
        <w:t xml:space="preserve"> </w:t>
      </w:r>
      <w:r w:rsidR="00425D0A">
        <w:rPr>
          <w:sz w:val="24"/>
          <w:szCs w:val="24"/>
        </w:rPr>
        <w:br/>
      </w:r>
      <w:r w:rsidRPr="00C66AF0">
        <w:rPr>
          <w:sz w:val="24"/>
          <w:szCs w:val="24"/>
        </w:rPr>
        <w:t xml:space="preserve">Budapesti Műszaki és Gazdaságtudományi Egyetem; </w:t>
      </w:r>
      <w:r w:rsidRPr="00C66AF0">
        <w:rPr>
          <w:sz w:val="24"/>
          <w:szCs w:val="24"/>
        </w:rPr>
        <w:br/>
        <w:t>(2) ELKH - Energiatudományi Kutatóközpont</w:t>
      </w:r>
    </w:p>
    <w:p w:rsidR="00707C44" w:rsidRDefault="00707C44">
      <w:pPr>
        <w:rPr>
          <w:b/>
        </w:rPr>
      </w:pPr>
    </w:p>
    <w:p w:rsidR="001E0714" w:rsidRDefault="001E0714" w:rsidP="007D3EC4">
      <w:pPr>
        <w:jc w:val="both"/>
      </w:pPr>
      <w:proofErr w:type="gramStart"/>
      <w:r w:rsidRPr="00333F46">
        <w:rPr>
          <w:b/>
        </w:rPr>
        <w:t>Absztrakt</w:t>
      </w:r>
      <w:proofErr w:type="gramEnd"/>
      <w:r w:rsidRPr="00333F46">
        <w:rPr>
          <w:b/>
        </w:rPr>
        <w:t>:</w:t>
      </w:r>
      <w:r w:rsidR="00333F46">
        <w:rPr>
          <w:b/>
        </w:rPr>
        <w:t xml:space="preserve"> </w:t>
      </w:r>
      <w:r w:rsidR="007D3EC4" w:rsidRPr="007D3EC4">
        <w:t xml:space="preserve">A paksi atomerőmű bővítésével, valamint </w:t>
      </w:r>
      <w:r w:rsidR="007D3EC4">
        <w:t xml:space="preserve">az </w:t>
      </w:r>
      <w:r w:rsidR="007D3EC4" w:rsidRPr="007D3EC4">
        <w:t xml:space="preserve">időjárás függő villamosenergia termelés nagyarányú </w:t>
      </w:r>
      <w:r w:rsidR="007D3EC4">
        <w:t xml:space="preserve">növelésével </w:t>
      </w:r>
      <w:r w:rsidR="009912E1">
        <w:t xml:space="preserve">középtávon </w:t>
      </w:r>
      <w:r w:rsidR="007D3EC4">
        <w:t>a</w:t>
      </w:r>
      <w:r w:rsidR="007D3EC4" w:rsidRPr="007D3EC4">
        <w:t xml:space="preserve"> </w:t>
      </w:r>
      <w:r w:rsidR="00DE37C7">
        <w:t>magyar</w:t>
      </w:r>
      <w:r w:rsidR="007D3EC4" w:rsidRPr="007D3EC4">
        <w:t xml:space="preserve"> energiaszektor jelentős átalakulása várható</w:t>
      </w:r>
      <w:r w:rsidR="007D3EC4">
        <w:t xml:space="preserve">. </w:t>
      </w:r>
      <w:r w:rsidR="009912E1">
        <w:t>Mivel ezek</w:t>
      </w:r>
      <w:r w:rsidR="007D3EC4">
        <w:t xml:space="preserve"> a változások</w:t>
      </w:r>
      <w:r w:rsidR="00AB1D18" w:rsidRPr="007D3EC4">
        <w:t xml:space="preserve"> </w:t>
      </w:r>
      <w:r w:rsidR="009912E1">
        <w:t>megnehezítik a</w:t>
      </w:r>
      <w:r w:rsidR="007D3EC4">
        <w:t xml:space="preserve"> </w:t>
      </w:r>
      <w:r w:rsidR="00AB1D18" w:rsidRPr="007D3EC4">
        <w:t>villamosen</w:t>
      </w:r>
      <w:r w:rsidR="00AB1D18" w:rsidRPr="00AB1D18">
        <w:t>ergia-</w:t>
      </w:r>
      <w:r w:rsidR="007D3EC4">
        <w:t>hálózaton</w:t>
      </w:r>
      <w:r w:rsidR="00AB1D18" w:rsidRPr="00AB1D18">
        <w:t xml:space="preserve"> belüli frekvenciatartást,</w:t>
      </w:r>
      <w:r w:rsidR="009912E1">
        <w:t xml:space="preserve"> szükség lesz energiatárolók beépítésére a hazai rendszerbe. </w:t>
      </w:r>
      <w:r w:rsidR="00A97B56">
        <w:t xml:space="preserve">A </w:t>
      </w:r>
      <w:proofErr w:type="spellStart"/>
      <w:r w:rsidR="00A97B56" w:rsidRPr="00A97B56">
        <w:t>Power-to-Methane</w:t>
      </w:r>
      <w:proofErr w:type="spellEnd"/>
      <w:r w:rsidR="00A97B56" w:rsidRPr="00A97B56">
        <w:t xml:space="preserve"> technológia</w:t>
      </w:r>
      <w:r w:rsidR="00A97B56">
        <w:t xml:space="preserve"> segítségével metán formájában válik tárolhatóvá a villamos energia. Jelen dolgozat célja a technológia műszaki lehetőségeinek </w:t>
      </w:r>
      <w:r w:rsidR="00FC0EDC">
        <w:t>ismertetése</w:t>
      </w:r>
      <w:r w:rsidR="00A97B56">
        <w:t xml:space="preserve">, valamint </w:t>
      </w:r>
      <w:r w:rsidR="00A142CD">
        <w:t xml:space="preserve">annak </w:t>
      </w:r>
      <w:r w:rsidR="00A97B56">
        <w:t>bemutat</w:t>
      </w:r>
      <w:r w:rsidR="00A142CD">
        <w:t>ása</w:t>
      </w:r>
      <w:r w:rsidR="00A97B56">
        <w:t xml:space="preserve">, hogy hogyan növelhető </w:t>
      </w:r>
      <w:r w:rsidR="00A97B56" w:rsidRPr="00A97B56">
        <w:t xml:space="preserve">a </w:t>
      </w:r>
      <w:r w:rsidR="00A97B56">
        <w:t>tárolási eljárás</w:t>
      </w:r>
      <w:r w:rsidR="00A97B56" w:rsidRPr="00A97B56">
        <w:t xml:space="preserve"> átalakítási hatásfoka </w:t>
      </w:r>
      <w:r w:rsidR="004E3CE3" w:rsidRPr="00E5217D">
        <w:t xml:space="preserve">a villamosenergia betáplálási oldalára illesztett </w:t>
      </w:r>
      <w:r w:rsidR="00A97B56" w:rsidRPr="00A97B56">
        <w:t xml:space="preserve">szerves </w:t>
      </w:r>
      <w:proofErr w:type="spellStart"/>
      <w:r w:rsidR="00A97B56" w:rsidRPr="00A97B56">
        <w:t>Rankine</w:t>
      </w:r>
      <w:proofErr w:type="spellEnd"/>
      <w:r w:rsidR="00A97B56" w:rsidRPr="00A97B56">
        <w:t xml:space="preserve">-ciklus </w:t>
      </w:r>
      <w:r w:rsidR="004E3CE3">
        <w:t>segítségével</w:t>
      </w:r>
      <w:r w:rsidR="00A97B56" w:rsidRPr="00A97B56">
        <w:t>.</w:t>
      </w:r>
    </w:p>
    <w:p w:rsidR="00B803C6" w:rsidRDefault="00B803C6" w:rsidP="007D3EC4">
      <w:pPr>
        <w:jc w:val="both"/>
      </w:pPr>
    </w:p>
    <w:p w:rsidR="00B803C6" w:rsidRPr="00AB1D18" w:rsidRDefault="00B803C6" w:rsidP="007D3EC4">
      <w:pPr>
        <w:jc w:val="both"/>
      </w:pPr>
      <w:proofErr w:type="spellStart"/>
      <w:r w:rsidRPr="00B803C6">
        <w:rPr>
          <w:b/>
        </w:rPr>
        <w:t>Abstract</w:t>
      </w:r>
      <w:proofErr w:type="spellEnd"/>
      <w:r w:rsidRPr="00B803C6">
        <w:rPr>
          <w:b/>
        </w:rPr>
        <w:t>:</w:t>
      </w:r>
      <w:r>
        <w:t xml:space="preserve"> </w:t>
      </w:r>
      <w:proofErr w:type="spellStart"/>
      <w:r w:rsidRPr="00B803C6">
        <w:t>With</w:t>
      </w:r>
      <w:proofErr w:type="spellEnd"/>
      <w:r w:rsidRPr="00B803C6">
        <w:t xml:space="preserve"> </w:t>
      </w:r>
      <w:proofErr w:type="spellStart"/>
      <w:r w:rsidRPr="00B803C6">
        <w:t>the</w:t>
      </w:r>
      <w:proofErr w:type="spellEnd"/>
      <w:r w:rsidRPr="00B803C6">
        <w:t xml:space="preserve"> </w:t>
      </w:r>
      <w:proofErr w:type="spellStart"/>
      <w:r w:rsidRPr="00B803C6">
        <w:t>expansion</w:t>
      </w:r>
      <w:proofErr w:type="spellEnd"/>
      <w:r w:rsidRPr="00B803C6">
        <w:t xml:space="preserve"> of </w:t>
      </w:r>
      <w:proofErr w:type="spellStart"/>
      <w:r w:rsidRPr="00B803C6">
        <w:t>the</w:t>
      </w:r>
      <w:proofErr w:type="spellEnd"/>
      <w:r w:rsidRPr="00B803C6">
        <w:t xml:space="preserve"> Paks </w:t>
      </w:r>
      <w:proofErr w:type="spellStart"/>
      <w:r w:rsidRPr="00B803C6">
        <w:t>nuclear</w:t>
      </w:r>
      <w:proofErr w:type="spellEnd"/>
      <w:r w:rsidRPr="00B803C6">
        <w:t xml:space="preserve"> </w:t>
      </w:r>
      <w:proofErr w:type="spellStart"/>
      <w:r w:rsidRPr="00B803C6">
        <w:t>power</w:t>
      </w:r>
      <w:proofErr w:type="spellEnd"/>
      <w:r w:rsidRPr="00B803C6">
        <w:t xml:space="preserve"> </w:t>
      </w:r>
      <w:proofErr w:type="spellStart"/>
      <w:r w:rsidRPr="00B803C6">
        <w:t>plant</w:t>
      </w:r>
      <w:proofErr w:type="spellEnd"/>
      <w:r w:rsidRPr="00B803C6">
        <w:t xml:space="preserve"> and </w:t>
      </w:r>
      <w:proofErr w:type="spellStart"/>
      <w:r w:rsidRPr="00B803C6">
        <w:t>the</w:t>
      </w:r>
      <w:proofErr w:type="spellEnd"/>
      <w:r w:rsidRPr="00B803C6">
        <w:t xml:space="preserve"> </w:t>
      </w:r>
      <w:proofErr w:type="spellStart"/>
      <w:r w:rsidRPr="00B803C6">
        <w:t>significant</w:t>
      </w:r>
      <w:proofErr w:type="spellEnd"/>
      <w:r w:rsidRPr="00B803C6">
        <w:t xml:space="preserve"> </w:t>
      </w:r>
      <w:proofErr w:type="spellStart"/>
      <w:r w:rsidRPr="00B803C6">
        <w:t>increase</w:t>
      </w:r>
      <w:proofErr w:type="spellEnd"/>
      <w:r w:rsidRPr="00B803C6">
        <w:t xml:space="preserve"> in </w:t>
      </w:r>
      <w:proofErr w:type="spellStart"/>
      <w:r w:rsidRPr="00B803C6">
        <w:t>weather-dependent</w:t>
      </w:r>
      <w:proofErr w:type="spellEnd"/>
      <w:r w:rsidRPr="00B803C6">
        <w:t xml:space="preserve"> </w:t>
      </w:r>
      <w:proofErr w:type="spellStart"/>
      <w:r w:rsidRPr="00B803C6">
        <w:t>electricity</w:t>
      </w:r>
      <w:proofErr w:type="spellEnd"/>
      <w:r w:rsidRPr="00B803C6">
        <w:t xml:space="preserve"> </w:t>
      </w:r>
      <w:proofErr w:type="spellStart"/>
      <w:r w:rsidRPr="00B803C6">
        <w:t>generation</w:t>
      </w:r>
      <w:proofErr w:type="spellEnd"/>
      <w:r w:rsidRPr="00B803C6">
        <w:t xml:space="preserve">, a major </w:t>
      </w:r>
      <w:proofErr w:type="spellStart"/>
      <w:r w:rsidRPr="00B803C6">
        <w:t>transformation</w:t>
      </w:r>
      <w:proofErr w:type="spellEnd"/>
      <w:r w:rsidRPr="00B803C6">
        <w:t xml:space="preserve"> of </w:t>
      </w:r>
      <w:proofErr w:type="spellStart"/>
      <w:r w:rsidRPr="00B803C6">
        <w:t>the</w:t>
      </w:r>
      <w:proofErr w:type="spellEnd"/>
      <w:r w:rsidRPr="00B803C6">
        <w:t xml:space="preserve"> </w:t>
      </w:r>
      <w:proofErr w:type="spellStart"/>
      <w:r w:rsidRPr="00B803C6">
        <w:t>Hungarian</w:t>
      </w:r>
      <w:proofErr w:type="spellEnd"/>
      <w:r w:rsidRPr="00B803C6">
        <w:t xml:space="preserve"> </w:t>
      </w:r>
      <w:proofErr w:type="spellStart"/>
      <w:r w:rsidRPr="00B803C6">
        <w:t>energy</w:t>
      </w:r>
      <w:proofErr w:type="spellEnd"/>
      <w:r w:rsidRPr="00B803C6">
        <w:t xml:space="preserve"> sector is </w:t>
      </w:r>
      <w:proofErr w:type="spellStart"/>
      <w:r w:rsidRPr="00B803C6">
        <w:t>expected</w:t>
      </w:r>
      <w:proofErr w:type="spellEnd"/>
      <w:r w:rsidRPr="00B803C6">
        <w:t xml:space="preserve"> in </w:t>
      </w:r>
      <w:proofErr w:type="spellStart"/>
      <w:r w:rsidRPr="00B803C6">
        <w:t>the</w:t>
      </w:r>
      <w:proofErr w:type="spellEnd"/>
      <w:r w:rsidRPr="00B803C6">
        <w:t xml:space="preserve"> </w:t>
      </w:r>
      <w:proofErr w:type="spellStart"/>
      <w:r w:rsidRPr="00B803C6">
        <w:t>medium</w:t>
      </w:r>
      <w:proofErr w:type="spellEnd"/>
      <w:r w:rsidRPr="00B803C6">
        <w:t xml:space="preserve"> </w:t>
      </w:r>
      <w:proofErr w:type="spellStart"/>
      <w:r w:rsidRPr="00B803C6">
        <w:t>term</w:t>
      </w:r>
      <w:proofErr w:type="spellEnd"/>
      <w:r w:rsidRPr="00B803C6">
        <w:t xml:space="preserve">. </w:t>
      </w:r>
      <w:proofErr w:type="spellStart"/>
      <w:r w:rsidRPr="00B803C6">
        <w:t>As</w:t>
      </w:r>
      <w:proofErr w:type="spellEnd"/>
      <w:r w:rsidRPr="00B803C6">
        <w:t xml:space="preserve"> </w:t>
      </w:r>
      <w:proofErr w:type="spellStart"/>
      <w:r w:rsidRPr="00B803C6">
        <w:t>these</w:t>
      </w:r>
      <w:proofErr w:type="spellEnd"/>
      <w:r w:rsidRPr="00B803C6">
        <w:t xml:space="preserve"> </w:t>
      </w:r>
      <w:proofErr w:type="spellStart"/>
      <w:r w:rsidRPr="00B803C6">
        <w:t>changes</w:t>
      </w:r>
      <w:proofErr w:type="spellEnd"/>
      <w:r w:rsidRPr="00B803C6">
        <w:t xml:space="preserve"> </w:t>
      </w:r>
      <w:proofErr w:type="spellStart"/>
      <w:r w:rsidRPr="00B803C6">
        <w:t>will</w:t>
      </w:r>
      <w:proofErr w:type="spellEnd"/>
      <w:r w:rsidRPr="00B803C6">
        <w:t xml:space="preserve"> </w:t>
      </w:r>
      <w:proofErr w:type="spellStart"/>
      <w:r w:rsidRPr="00B803C6">
        <w:t>make</w:t>
      </w:r>
      <w:proofErr w:type="spellEnd"/>
      <w:r w:rsidRPr="00B803C6">
        <w:t xml:space="preserve"> it more </w:t>
      </w:r>
      <w:proofErr w:type="spellStart"/>
      <w:r w:rsidRPr="00B803C6">
        <w:t>challenging</w:t>
      </w:r>
      <w:proofErr w:type="spellEnd"/>
      <w:r w:rsidRPr="00B803C6">
        <w:t xml:space="preserve"> </w:t>
      </w:r>
      <w:proofErr w:type="spellStart"/>
      <w:r w:rsidRPr="00B803C6">
        <w:t>to</w:t>
      </w:r>
      <w:proofErr w:type="spellEnd"/>
      <w:r w:rsidRPr="00B803C6">
        <w:t xml:space="preserve"> </w:t>
      </w:r>
      <w:proofErr w:type="spellStart"/>
      <w:r w:rsidRPr="00B803C6">
        <w:t>maintain</w:t>
      </w:r>
      <w:proofErr w:type="spellEnd"/>
      <w:r w:rsidRPr="00B803C6">
        <w:t xml:space="preserve"> </w:t>
      </w:r>
      <w:proofErr w:type="spellStart"/>
      <w:r w:rsidRPr="00B803C6">
        <w:t>the</w:t>
      </w:r>
      <w:proofErr w:type="spellEnd"/>
      <w:r w:rsidRPr="00B803C6">
        <w:t xml:space="preserve"> </w:t>
      </w:r>
      <w:proofErr w:type="spellStart"/>
      <w:r w:rsidRPr="00B803C6">
        <w:t>frequency</w:t>
      </w:r>
      <w:proofErr w:type="spellEnd"/>
      <w:r w:rsidRPr="00B803C6">
        <w:t xml:space="preserve"> of </w:t>
      </w:r>
      <w:proofErr w:type="spellStart"/>
      <w:r w:rsidRPr="00B803C6">
        <w:t>the</w:t>
      </w:r>
      <w:proofErr w:type="spellEnd"/>
      <w:r w:rsidRPr="00B803C6">
        <w:t xml:space="preserve"> </w:t>
      </w:r>
      <w:proofErr w:type="spellStart"/>
      <w:r w:rsidRPr="00B803C6">
        <w:t>electricity</w:t>
      </w:r>
      <w:proofErr w:type="spellEnd"/>
      <w:r w:rsidRPr="00B803C6">
        <w:t xml:space="preserve"> </w:t>
      </w:r>
      <w:proofErr w:type="spellStart"/>
      <w:r w:rsidRPr="00B803C6">
        <w:t>grid</w:t>
      </w:r>
      <w:proofErr w:type="spellEnd"/>
      <w:r w:rsidRPr="00B803C6">
        <w:t xml:space="preserve">, it </w:t>
      </w:r>
      <w:proofErr w:type="spellStart"/>
      <w:r w:rsidRPr="00B803C6">
        <w:t>will</w:t>
      </w:r>
      <w:proofErr w:type="spellEnd"/>
      <w:r w:rsidRPr="00B803C6">
        <w:t xml:space="preserve"> be </w:t>
      </w:r>
      <w:proofErr w:type="spellStart"/>
      <w:r w:rsidRPr="00B803C6">
        <w:t>essential</w:t>
      </w:r>
      <w:proofErr w:type="spellEnd"/>
      <w:r w:rsidRPr="00B803C6">
        <w:t xml:space="preserve"> </w:t>
      </w:r>
      <w:proofErr w:type="spellStart"/>
      <w:r w:rsidRPr="00B803C6">
        <w:t>to</w:t>
      </w:r>
      <w:proofErr w:type="spellEnd"/>
      <w:r w:rsidRPr="00B803C6">
        <w:t xml:space="preserve"> </w:t>
      </w:r>
      <w:proofErr w:type="spellStart"/>
      <w:r w:rsidRPr="00B803C6">
        <w:t>integrate</w:t>
      </w:r>
      <w:proofErr w:type="spellEnd"/>
      <w:r w:rsidRPr="00B803C6">
        <w:t xml:space="preserve"> </w:t>
      </w:r>
      <w:proofErr w:type="spellStart"/>
      <w:r w:rsidRPr="00B803C6">
        <w:t>energy</w:t>
      </w:r>
      <w:proofErr w:type="spellEnd"/>
      <w:r w:rsidRPr="00B803C6">
        <w:t xml:space="preserve"> </w:t>
      </w:r>
      <w:proofErr w:type="spellStart"/>
      <w:r w:rsidRPr="00B803C6">
        <w:t>storage</w:t>
      </w:r>
      <w:proofErr w:type="spellEnd"/>
      <w:r w:rsidRPr="00B803C6">
        <w:t xml:space="preserve"> </w:t>
      </w:r>
      <w:proofErr w:type="spellStart"/>
      <w:r w:rsidRPr="00B803C6">
        <w:t>facilities</w:t>
      </w:r>
      <w:proofErr w:type="spellEnd"/>
      <w:r w:rsidRPr="00B803C6">
        <w:t xml:space="preserve"> </w:t>
      </w:r>
      <w:proofErr w:type="spellStart"/>
      <w:r w:rsidRPr="00B803C6">
        <w:t>into</w:t>
      </w:r>
      <w:proofErr w:type="spellEnd"/>
      <w:r w:rsidRPr="00B803C6">
        <w:t xml:space="preserve"> </w:t>
      </w:r>
      <w:proofErr w:type="spellStart"/>
      <w:r w:rsidRPr="00B803C6">
        <w:t>the</w:t>
      </w:r>
      <w:proofErr w:type="spellEnd"/>
      <w:r w:rsidRPr="00B803C6">
        <w:t xml:space="preserve"> </w:t>
      </w:r>
      <w:proofErr w:type="spellStart"/>
      <w:r w:rsidRPr="00B803C6">
        <w:t>domestic</w:t>
      </w:r>
      <w:proofErr w:type="spellEnd"/>
      <w:r w:rsidRPr="00B803C6">
        <w:t xml:space="preserve"> </w:t>
      </w:r>
      <w:proofErr w:type="spellStart"/>
      <w:r w:rsidRPr="00B803C6">
        <w:t>system</w:t>
      </w:r>
      <w:proofErr w:type="spellEnd"/>
      <w:r w:rsidRPr="00B803C6">
        <w:t xml:space="preserve">. </w:t>
      </w:r>
      <w:proofErr w:type="spellStart"/>
      <w:r w:rsidRPr="00B803C6">
        <w:t>Power-to-Methane</w:t>
      </w:r>
      <w:proofErr w:type="spellEnd"/>
      <w:r w:rsidRPr="00B803C6">
        <w:t xml:space="preserve"> </w:t>
      </w:r>
      <w:proofErr w:type="spellStart"/>
      <w:r w:rsidRPr="00B803C6">
        <w:t>technology</w:t>
      </w:r>
      <w:proofErr w:type="spellEnd"/>
      <w:r w:rsidRPr="00B803C6">
        <w:t xml:space="preserve"> </w:t>
      </w:r>
      <w:proofErr w:type="spellStart"/>
      <w:r w:rsidRPr="00B803C6">
        <w:t>allows</w:t>
      </w:r>
      <w:proofErr w:type="spellEnd"/>
      <w:r w:rsidRPr="00B803C6">
        <w:t xml:space="preserve"> </w:t>
      </w:r>
      <w:proofErr w:type="spellStart"/>
      <w:r w:rsidRPr="00B803C6">
        <w:t>electricity</w:t>
      </w:r>
      <w:proofErr w:type="spellEnd"/>
      <w:r w:rsidRPr="00B803C6">
        <w:t xml:space="preserve"> </w:t>
      </w:r>
      <w:proofErr w:type="spellStart"/>
      <w:r w:rsidRPr="00B803C6">
        <w:t>to</w:t>
      </w:r>
      <w:proofErr w:type="spellEnd"/>
      <w:r w:rsidRPr="00B803C6">
        <w:t xml:space="preserve"> be </w:t>
      </w:r>
      <w:proofErr w:type="spellStart"/>
      <w:r w:rsidRPr="00B803C6">
        <w:t>stored</w:t>
      </w:r>
      <w:proofErr w:type="spellEnd"/>
      <w:r w:rsidRPr="00B803C6">
        <w:t xml:space="preserve"> in </w:t>
      </w:r>
      <w:proofErr w:type="spellStart"/>
      <w:r w:rsidRPr="00B803C6">
        <w:t>the</w:t>
      </w:r>
      <w:proofErr w:type="spellEnd"/>
      <w:r w:rsidRPr="00B803C6">
        <w:t xml:space="preserve"> </w:t>
      </w:r>
      <w:proofErr w:type="spellStart"/>
      <w:r w:rsidRPr="00B803C6">
        <w:t>form</w:t>
      </w:r>
      <w:proofErr w:type="spellEnd"/>
      <w:r w:rsidRPr="00B803C6">
        <w:t xml:space="preserve"> of </w:t>
      </w:r>
      <w:proofErr w:type="spellStart"/>
      <w:r w:rsidRPr="00B803C6">
        <w:t>methane</w:t>
      </w:r>
      <w:proofErr w:type="spellEnd"/>
      <w:r w:rsidRPr="00B803C6">
        <w:t xml:space="preserve">. </w:t>
      </w:r>
      <w:proofErr w:type="spellStart"/>
      <w:r w:rsidRPr="00B803C6">
        <w:t>This</w:t>
      </w:r>
      <w:proofErr w:type="spellEnd"/>
      <w:r w:rsidRPr="00B803C6">
        <w:t xml:space="preserve"> </w:t>
      </w:r>
      <w:proofErr w:type="spellStart"/>
      <w:r w:rsidRPr="00B803C6">
        <w:t>paper</w:t>
      </w:r>
      <w:proofErr w:type="spellEnd"/>
      <w:r w:rsidRPr="00B803C6">
        <w:t xml:space="preserve"> </w:t>
      </w:r>
      <w:proofErr w:type="spellStart"/>
      <w:r w:rsidRPr="00B803C6">
        <w:t>aims</w:t>
      </w:r>
      <w:proofErr w:type="spellEnd"/>
      <w:r w:rsidRPr="00B803C6">
        <w:t xml:space="preserve"> </w:t>
      </w:r>
      <w:proofErr w:type="spellStart"/>
      <w:r w:rsidRPr="00B803C6">
        <w:t>to</w:t>
      </w:r>
      <w:proofErr w:type="spellEnd"/>
      <w:r w:rsidRPr="00B803C6">
        <w:t xml:space="preserve"> </w:t>
      </w:r>
      <w:proofErr w:type="spellStart"/>
      <w:r w:rsidRPr="00B803C6">
        <w:t>describe</w:t>
      </w:r>
      <w:proofErr w:type="spellEnd"/>
      <w:r w:rsidRPr="00B803C6">
        <w:t xml:space="preserve"> </w:t>
      </w:r>
      <w:proofErr w:type="spellStart"/>
      <w:r w:rsidRPr="00B803C6">
        <w:t>the</w:t>
      </w:r>
      <w:proofErr w:type="spellEnd"/>
      <w:r w:rsidRPr="00B803C6">
        <w:t xml:space="preserve"> </w:t>
      </w:r>
      <w:proofErr w:type="spellStart"/>
      <w:r w:rsidRPr="00B803C6">
        <w:t>technical</w:t>
      </w:r>
      <w:proofErr w:type="spellEnd"/>
      <w:r w:rsidRPr="00B803C6">
        <w:t xml:space="preserve"> </w:t>
      </w:r>
      <w:proofErr w:type="spellStart"/>
      <w:r w:rsidRPr="00B803C6">
        <w:t>potential</w:t>
      </w:r>
      <w:proofErr w:type="spellEnd"/>
      <w:r w:rsidRPr="00B803C6">
        <w:t xml:space="preserve"> of </w:t>
      </w:r>
      <w:proofErr w:type="spellStart"/>
      <w:r w:rsidRPr="00B803C6">
        <w:t>the</w:t>
      </w:r>
      <w:proofErr w:type="spellEnd"/>
      <w:r w:rsidRPr="00B803C6">
        <w:t xml:space="preserve"> </w:t>
      </w:r>
      <w:proofErr w:type="spellStart"/>
      <w:r w:rsidRPr="00B803C6">
        <w:t>technology</w:t>
      </w:r>
      <w:proofErr w:type="spellEnd"/>
      <w:r w:rsidRPr="00B803C6">
        <w:t xml:space="preserve"> and show </w:t>
      </w:r>
      <w:proofErr w:type="spellStart"/>
      <w:r w:rsidRPr="00B803C6">
        <w:t>how</w:t>
      </w:r>
      <w:proofErr w:type="spellEnd"/>
      <w:r w:rsidRPr="00B803C6">
        <w:t xml:space="preserve"> </w:t>
      </w:r>
      <w:proofErr w:type="spellStart"/>
      <w:r w:rsidRPr="00B803C6">
        <w:t>the</w:t>
      </w:r>
      <w:proofErr w:type="spellEnd"/>
      <w:r w:rsidRPr="00B803C6">
        <w:t xml:space="preserve"> conversion </w:t>
      </w:r>
      <w:proofErr w:type="spellStart"/>
      <w:r w:rsidRPr="00B803C6">
        <w:t>efficiency</w:t>
      </w:r>
      <w:proofErr w:type="spellEnd"/>
      <w:r w:rsidRPr="00B803C6">
        <w:t xml:space="preserve"> of </w:t>
      </w:r>
      <w:proofErr w:type="spellStart"/>
      <w:r w:rsidRPr="00B803C6">
        <w:t>the</w:t>
      </w:r>
      <w:proofErr w:type="spellEnd"/>
      <w:r w:rsidRPr="00B803C6">
        <w:t xml:space="preserve"> </w:t>
      </w:r>
      <w:proofErr w:type="spellStart"/>
      <w:r w:rsidRPr="00B803C6">
        <w:t>storage</w:t>
      </w:r>
      <w:proofErr w:type="spellEnd"/>
      <w:r w:rsidRPr="00B803C6">
        <w:t xml:space="preserve"> </w:t>
      </w:r>
      <w:proofErr w:type="spellStart"/>
      <w:r w:rsidRPr="00B803C6">
        <w:t>process</w:t>
      </w:r>
      <w:proofErr w:type="spellEnd"/>
      <w:r w:rsidRPr="00B803C6">
        <w:t xml:space="preserve"> </w:t>
      </w:r>
      <w:proofErr w:type="spellStart"/>
      <w:r w:rsidRPr="00B803C6">
        <w:t>can</w:t>
      </w:r>
      <w:proofErr w:type="spellEnd"/>
      <w:r w:rsidRPr="00B803C6">
        <w:t xml:space="preserve"> be </w:t>
      </w:r>
      <w:proofErr w:type="spellStart"/>
      <w:r w:rsidRPr="00B803C6">
        <w:t>increased</w:t>
      </w:r>
      <w:proofErr w:type="spellEnd"/>
      <w:r w:rsidRPr="00B803C6">
        <w:t xml:space="preserve"> </w:t>
      </w:r>
      <w:proofErr w:type="spellStart"/>
      <w:r w:rsidR="000D5C2C">
        <w:t>by</w:t>
      </w:r>
      <w:proofErr w:type="spellEnd"/>
      <w:r w:rsidRPr="00B803C6">
        <w:t xml:space="preserve"> </w:t>
      </w:r>
      <w:proofErr w:type="spellStart"/>
      <w:r w:rsidRPr="00B803C6">
        <w:t>us</w:t>
      </w:r>
      <w:r w:rsidR="000D5C2C">
        <w:t>ing</w:t>
      </w:r>
      <w:proofErr w:type="spellEnd"/>
      <w:r w:rsidRPr="00B803C6">
        <w:t xml:space="preserve"> an </w:t>
      </w:r>
      <w:proofErr w:type="spellStart"/>
      <w:r w:rsidRPr="00B803C6">
        <w:t>organic</w:t>
      </w:r>
      <w:proofErr w:type="spellEnd"/>
      <w:r w:rsidRPr="00B803C6">
        <w:t xml:space="preserve"> </w:t>
      </w:r>
      <w:proofErr w:type="spellStart"/>
      <w:r w:rsidRPr="00B803C6">
        <w:t>Rankine</w:t>
      </w:r>
      <w:proofErr w:type="spellEnd"/>
      <w:r w:rsidRPr="00B803C6">
        <w:t xml:space="preserve"> </w:t>
      </w:r>
      <w:proofErr w:type="spellStart"/>
      <w:r w:rsidRPr="00B803C6">
        <w:t>cycle</w:t>
      </w:r>
      <w:proofErr w:type="spellEnd"/>
      <w:r w:rsidR="000D5C2C">
        <w:t xml:space="preserve"> </w:t>
      </w:r>
      <w:proofErr w:type="spellStart"/>
      <w:r w:rsidR="000D5C2C">
        <w:t>on</w:t>
      </w:r>
      <w:proofErr w:type="spellEnd"/>
      <w:r w:rsidR="000D5C2C">
        <w:t xml:space="preserve"> </w:t>
      </w:r>
      <w:proofErr w:type="spellStart"/>
      <w:r w:rsidR="000D5C2C">
        <w:t>the</w:t>
      </w:r>
      <w:proofErr w:type="spellEnd"/>
      <w:r w:rsidR="000D5C2C">
        <w:t xml:space="preserve"> </w:t>
      </w:r>
      <w:proofErr w:type="spellStart"/>
      <w:r w:rsidR="000D5C2C">
        <w:t>side</w:t>
      </w:r>
      <w:proofErr w:type="spellEnd"/>
      <w:r w:rsidR="000D5C2C">
        <w:t xml:space="preserve"> of </w:t>
      </w:r>
      <w:proofErr w:type="spellStart"/>
      <w:r w:rsidR="000D5C2C">
        <w:t>the</w:t>
      </w:r>
      <w:proofErr w:type="spellEnd"/>
      <w:r w:rsidR="000D5C2C">
        <w:t xml:space="preserve"> </w:t>
      </w:r>
      <w:proofErr w:type="spellStart"/>
      <w:r w:rsidR="000D5C2C">
        <w:t>electricity</w:t>
      </w:r>
      <w:proofErr w:type="spellEnd"/>
      <w:r w:rsidR="000D5C2C">
        <w:t xml:space="preserve"> </w:t>
      </w:r>
      <w:proofErr w:type="spellStart"/>
      <w:r w:rsidR="000D5C2C">
        <w:t>feed</w:t>
      </w:r>
      <w:proofErr w:type="spellEnd"/>
      <w:r w:rsidR="000D5C2C">
        <w:t>-in</w:t>
      </w:r>
      <w:r w:rsidRPr="00B803C6">
        <w:t>.</w:t>
      </w:r>
    </w:p>
    <w:p w:rsidR="004070CE" w:rsidRPr="00907961" w:rsidRDefault="004070CE"/>
    <w:p w:rsidR="001E0714" w:rsidRDefault="004070CE" w:rsidP="004677BC">
      <w:pPr>
        <w:pStyle w:val="Heading1"/>
      </w:pPr>
      <w:r w:rsidRPr="00333F46">
        <w:t>Bevezető</w:t>
      </w:r>
    </w:p>
    <w:p w:rsidR="00593DDD" w:rsidRDefault="00DE703C" w:rsidP="009E77C2">
      <w:pPr>
        <w:jc w:val="both"/>
      </w:pPr>
      <w:proofErr w:type="gramStart"/>
      <w:r>
        <w:t xml:space="preserve">A </w:t>
      </w:r>
      <w:r w:rsidR="006F54A5">
        <w:t>Nemzeti Energia- és Klímatervben</w:t>
      </w:r>
      <w:proofErr w:type="gramEnd"/>
      <w:r w:rsidR="00B37744">
        <w:t xml:space="preserve"> </w:t>
      </w:r>
      <w:r w:rsidR="00B37744">
        <w:fldChar w:fldCharType="begin" w:fldLock="1"/>
      </w:r>
      <w:r w:rsidR="00B37744">
        <w:instrText>ADDIN CSL_CITATION {"citationItems":[{"id":"ITEM-1","itemData":{"author":[{"dropping-particle":"","family":"Innovációs és Technológiai Minisztérium","given":"","non-dropping-particle":"","parse-names":false,"suffix":""}],"id":"ITEM-1","issued":{"date-parts":[["2020"]]},"title":"Nemzeti Energia- és Klímaterv","type":"report"},"uris":["http://www.mendeley.com/documents/?uuid=8817a995-f369-4702-9f5a-8292733dd435"]}],"mendeley":{"formattedCitation":"[1]","plainTextFormattedCitation":"[1]","previouslyFormattedCitation":"[1]"},"properties":{"noteIndex":0},"schema":"https://github.com/citation-style-language/schema/raw/master/csl-citation.json"}</w:instrText>
      </w:r>
      <w:r w:rsidR="00B37744">
        <w:fldChar w:fldCharType="separate"/>
      </w:r>
      <w:r w:rsidR="00B37744" w:rsidRPr="00B37744">
        <w:rPr>
          <w:noProof/>
        </w:rPr>
        <w:t>[1]</w:t>
      </w:r>
      <w:r w:rsidR="00B37744">
        <w:fldChar w:fldCharType="end"/>
      </w:r>
      <w:r w:rsidR="006F54A5">
        <w:t xml:space="preserve"> megfogalmazott, a </w:t>
      </w:r>
      <w:r w:rsidR="006F54A5" w:rsidRPr="006F54A5">
        <w:t>szén-dioxid-mentes villamosenergia-termelés</w:t>
      </w:r>
      <w:r w:rsidR="006F54A5">
        <w:t xml:space="preserve"> </w:t>
      </w:r>
      <w:proofErr w:type="gramStart"/>
      <w:r w:rsidR="006F54A5">
        <w:t>részarányának</w:t>
      </w:r>
      <w:proofErr w:type="gramEnd"/>
      <w:r w:rsidR="006F54A5">
        <w:t xml:space="preserve"> növelésére vonatkozó célkitűzések a </w:t>
      </w:r>
      <w:r>
        <w:t>magyarországi villamosenergia-szektor jelentős átalakulás</w:t>
      </w:r>
      <w:r w:rsidR="006F54A5">
        <w:t>át vetítik előre a következő évtize</w:t>
      </w:r>
      <w:r w:rsidR="00267C5C">
        <w:t>d</w:t>
      </w:r>
      <w:r w:rsidR="006F54A5">
        <w:t>ben</w:t>
      </w:r>
      <w:r>
        <w:t>.</w:t>
      </w:r>
      <w:r w:rsidR="001150D7">
        <w:t xml:space="preserve"> A szektor átalakításának </w:t>
      </w:r>
      <w:r w:rsidR="00EF50FE">
        <w:t xml:space="preserve">központi elemét – </w:t>
      </w:r>
      <w:r w:rsidR="001150D7">
        <w:t>k</w:t>
      </w:r>
      <w:r w:rsidR="001150D7" w:rsidRPr="001150D7">
        <w:t>límavédelmi és levegőminőségi szempontok</w:t>
      </w:r>
      <w:r w:rsidR="001150D7">
        <w:t xml:space="preserve"> alapján </w:t>
      </w:r>
      <w:r w:rsidR="00EF50FE">
        <w:t xml:space="preserve">– a 2030-ra </w:t>
      </w:r>
      <w:r w:rsidR="00740A80">
        <w:t xml:space="preserve">tervezett </w:t>
      </w:r>
      <w:r w:rsidR="00EF50FE">
        <w:t>paksi atomerőmű további két 1200 </w:t>
      </w:r>
      <w:proofErr w:type="spellStart"/>
      <w:r w:rsidR="00EF50FE">
        <w:t>MW</w:t>
      </w:r>
      <w:r w:rsidR="00EF50FE" w:rsidRPr="00740A80">
        <w:rPr>
          <w:vertAlign w:val="subscript"/>
        </w:rPr>
        <w:t>e</w:t>
      </w:r>
      <w:r w:rsidR="00EF50FE">
        <w:t>-os</w:t>
      </w:r>
      <w:proofErr w:type="spellEnd"/>
      <w:r w:rsidR="00EF50FE">
        <w:t xml:space="preserve"> blokkal történő bővítése, </w:t>
      </w:r>
      <w:r w:rsidR="00740A80">
        <w:t>valamint</w:t>
      </w:r>
      <w:r w:rsidR="001150D7">
        <w:t xml:space="preserve"> a napelemes </w:t>
      </w:r>
      <w:proofErr w:type="gramStart"/>
      <w:r w:rsidR="001150D7">
        <w:t>kapacitások</w:t>
      </w:r>
      <w:proofErr w:type="gramEnd"/>
      <w:r w:rsidR="001150D7">
        <w:t xml:space="preserve"> </w:t>
      </w:r>
      <w:r w:rsidR="00740A80">
        <w:t xml:space="preserve">~6500 </w:t>
      </w:r>
      <w:proofErr w:type="spellStart"/>
      <w:r w:rsidR="00740A80">
        <w:t>MW</w:t>
      </w:r>
      <w:r w:rsidR="00740A80" w:rsidRPr="009764C4">
        <w:rPr>
          <w:vertAlign w:val="subscript"/>
        </w:rPr>
        <w:t>e</w:t>
      </w:r>
      <w:r w:rsidR="00740A80">
        <w:t>-ra</w:t>
      </w:r>
      <w:proofErr w:type="spellEnd"/>
      <w:r w:rsidR="00740A80">
        <w:t xml:space="preserve"> történő növelése jelenti.</w:t>
      </w:r>
      <w:r w:rsidR="00D001AB">
        <w:t xml:space="preserve"> </w:t>
      </w:r>
      <w:proofErr w:type="gramStart"/>
      <w:r w:rsidR="00D001AB">
        <w:t>F</w:t>
      </w:r>
      <w:r w:rsidR="009E77C2">
        <w:t>igyelembe v</w:t>
      </w:r>
      <w:r w:rsidR="00D001AB">
        <w:t>éve</w:t>
      </w:r>
      <w:r w:rsidR="009E77C2">
        <w:t>, hogy a</w:t>
      </w:r>
      <w:r w:rsidR="00593DDD">
        <w:t xml:space="preserve">z éves bruttó rendszerterhelés napi negyedórás csúcsértéke </w:t>
      </w:r>
      <w:r w:rsidR="00593DDD">
        <w:lastRenderedPageBreak/>
        <w:t>2018-ban 6869 </w:t>
      </w:r>
      <w:proofErr w:type="spellStart"/>
      <w:r w:rsidR="00593DDD">
        <w:t>MW</w:t>
      </w:r>
      <w:r w:rsidR="00593DDD" w:rsidRPr="00593DDD">
        <w:rPr>
          <w:vertAlign w:val="subscript"/>
        </w:rPr>
        <w:t>e</w:t>
      </w:r>
      <w:proofErr w:type="spellEnd"/>
      <w:r w:rsidR="00593DDD">
        <w:t xml:space="preserve"> volt</w:t>
      </w:r>
      <w:r w:rsidR="002923D6">
        <w:t xml:space="preserve"> (8878 </w:t>
      </w:r>
      <w:proofErr w:type="spellStart"/>
      <w:r w:rsidR="002923D6">
        <w:t>MW</w:t>
      </w:r>
      <w:r w:rsidR="002923D6" w:rsidRPr="002923D6">
        <w:rPr>
          <w:vertAlign w:val="subscript"/>
        </w:rPr>
        <w:t>e</w:t>
      </w:r>
      <w:proofErr w:type="spellEnd"/>
      <w:r w:rsidR="002923D6">
        <w:t xml:space="preserve"> </w:t>
      </w:r>
      <w:r w:rsidR="002923D6" w:rsidRPr="002923D6">
        <w:t xml:space="preserve">bruttó beépített </w:t>
      </w:r>
      <w:r w:rsidR="002923D6">
        <w:t xml:space="preserve">és </w:t>
      </w:r>
      <w:r w:rsidR="002923D6" w:rsidRPr="002923D6">
        <w:t>7415,9</w:t>
      </w:r>
      <w:r w:rsidR="00735396">
        <w:t> </w:t>
      </w:r>
      <w:proofErr w:type="spellStart"/>
      <w:r w:rsidR="00735396">
        <w:t>MW</w:t>
      </w:r>
      <w:r w:rsidR="00735396" w:rsidRPr="002923D6">
        <w:rPr>
          <w:vertAlign w:val="subscript"/>
        </w:rPr>
        <w:t>e</w:t>
      </w:r>
      <w:proofErr w:type="spellEnd"/>
      <w:r w:rsidR="002923D6">
        <w:t xml:space="preserve"> rendelkezésre álló </w:t>
      </w:r>
      <w:r w:rsidR="002923D6" w:rsidRPr="002923D6">
        <w:t>teljesítőképesség</w:t>
      </w:r>
      <w:r w:rsidR="002923D6">
        <w:t xml:space="preserve"> mellett),</w:t>
      </w:r>
      <w:r w:rsidR="00593DDD">
        <w:t xml:space="preserve"> </w:t>
      </w:r>
      <w:r w:rsidR="00D001AB">
        <w:t>ezek a kapacitások a 2030-ban várh</w:t>
      </w:r>
      <w:r w:rsidR="00A22EEA">
        <w:t>ató terhelési értékekhez mérten</w:t>
      </w:r>
      <w:r w:rsidR="00D001AB">
        <w:t xml:space="preserve"> </w:t>
      </w:r>
      <w:r w:rsidR="00D908D5">
        <w:t>(2029-re 7526 és 8007 </w:t>
      </w:r>
      <w:proofErr w:type="spellStart"/>
      <w:r w:rsidR="00D908D5">
        <w:t>MW</w:t>
      </w:r>
      <w:r w:rsidR="00D908D5" w:rsidRPr="002923D6">
        <w:rPr>
          <w:vertAlign w:val="subscript"/>
        </w:rPr>
        <w:t>e</w:t>
      </w:r>
      <w:proofErr w:type="spellEnd"/>
      <w:r w:rsidR="00D908D5">
        <w:t xml:space="preserve"> közötti éves csúcsterhelés várható) </w:t>
      </w:r>
      <w:r w:rsidR="00D001AB">
        <w:t>is jelentősek</w:t>
      </w:r>
      <w:r w:rsidR="008F6452">
        <w:t xml:space="preserve"> lesznek</w:t>
      </w:r>
      <w:proofErr w:type="gramEnd"/>
      <w:r w:rsidR="00E9213A">
        <w:t xml:space="preserve"> </w:t>
      </w:r>
      <w:r w:rsidR="00E9213A">
        <w:fldChar w:fldCharType="begin" w:fldLock="1"/>
      </w:r>
      <w:r w:rsidR="00E9213A">
        <w:instrText>ADDIN CSL_CITATION {"citationItems":[{"id":"ITEM-1","itemData":{"author":[{"dropping-particle":"","family":"Magyar Villamosenergia-ipari Átviteli Rendszerirányító ZRt.","given":"","non-dropping-particle":"","parse-names":false,"suffix":""}],"id":"ITEM-1","issued":{"date-parts":[["2019"]]},"title":"A Magyar Villamosenergia -rendszer fogyasztói igényeinek előrejelzése 2019.","type":"report"},"uris":["http://www.mendeley.com/documents/?uuid=4804d146-ece9-4994-894c-b7405f211186"]}],"mendeley":{"formattedCitation":"[2]","plainTextFormattedCitation":"[2]","previouslyFormattedCitation":"[2]"},"properties":{"noteIndex":0},"schema":"https://github.com/citation-style-language/schema/raw/master/csl-citation.json"}</w:instrText>
      </w:r>
      <w:r w:rsidR="00E9213A">
        <w:fldChar w:fldCharType="separate"/>
      </w:r>
      <w:r w:rsidR="00E9213A" w:rsidRPr="00B37744">
        <w:rPr>
          <w:noProof/>
        </w:rPr>
        <w:t>[2]</w:t>
      </w:r>
      <w:r w:rsidR="00E9213A">
        <w:fldChar w:fldCharType="end"/>
      </w:r>
      <w:r w:rsidR="00D001AB">
        <w:t>.</w:t>
      </w:r>
    </w:p>
    <w:p w:rsidR="00B93FE7" w:rsidRDefault="00101745" w:rsidP="009E77C2">
      <w:pPr>
        <w:jc w:val="both"/>
      </w:pPr>
      <w:proofErr w:type="gramStart"/>
      <w:r>
        <w:t xml:space="preserve">Mivel a hosszabbított </w:t>
      </w:r>
      <w:proofErr w:type="spellStart"/>
      <w:r>
        <w:t>üzemidejű</w:t>
      </w:r>
      <w:proofErr w:type="spellEnd"/>
      <w:r>
        <w:t>, négy darab 500 </w:t>
      </w:r>
      <w:proofErr w:type="spellStart"/>
      <w:r>
        <w:t>MW</w:t>
      </w:r>
      <w:r w:rsidRPr="00101745">
        <w:rPr>
          <w:vertAlign w:val="subscript"/>
        </w:rPr>
        <w:t>e</w:t>
      </w:r>
      <w:r>
        <w:t>-os</w:t>
      </w:r>
      <w:proofErr w:type="spellEnd"/>
      <w:r>
        <w:t xml:space="preserve"> paksi blokk </w:t>
      </w:r>
      <w:r w:rsidR="00035C56">
        <w:t xml:space="preserve">2032 és 37 között </w:t>
      </w:r>
      <w:r>
        <w:t xml:space="preserve">kerül leállításra, </w:t>
      </w:r>
      <w:r w:rsidR="00BD3D3D">
        <w:t xml:space="preserve">terv szerinti </w:t>
      </w:r>
      <w:r w:rsidR="004737B1">
        <w:t xml:space="preserve">forgatókönyv esetén 2030-ban </w:t>
      </w:r>
      <w:r w:rsidR="00921290">
        <w:t xml:space="preserve">egyszerre lesz jelen a hazai </w:t>
      </w:r>
      <w:r w:rsidR="002814E4">
        <w:t xml:space="preserve">kb. </w:t>
      </w:r>
      <w:r w:rsidR="00921290">
        <w:t>8000 </w:t>
      </w:r>
      <w:proofErr w:type="spellStart"/>
      <w:r w:rsidR="00921290">
        <w:t>MW</w:t>
      </w:r>
      <w:r w:rsidR="00921290" w:rsidRPr="002923D6">
        <w:rPr>
          <w:vertAlign w:val="subscript"/>
        </w:rPr>
        <w:t>e</w:t>
      </w:r>
      <w:proofErr w:type="spellEnd"/>
      <w:r w:rsidR="002D2668">
        <w:t>–</w:t>
      </w:r>
      <w:proofErr w:type="spellStart"/>
      <w:r w:rsidR="002D2668">
        <w:t>os</w:t>
      </w:r>
      <w:proofErr w:type="spellEnd"/>
      <w:r w:rsidR="002D2668">
        <w:t xml:space="preserve"> csúcsigényű </w:t>
      </w:r>
      <w:r w:rsidR="00B93FE7">
        <w:t>rendszerben</w:t>
      </w:r>
      <w:r w:rsidR="002D2668">
        <w:t xml:space="preserve"> 4274 </w:t>
      </w:r>
      <w:proofErr w:type="spellStart"/>
      <w:r w:rsidR="002D2668">
        <w:t>MW</w:t>
      </w:r>
      <w:r w:rsidR="002D2668" w:rsidRPr="002923D6">
        <w:rPr>
          <w:vertAlign w:val="subscript"/>
        </w:rPr>
        <w:t>e</w:t>
      </w:r>
      <w:proofErr w:type="spellEnd"/>
      <w:r w:rsidR="002D2668">
        <w:t xml:space="preserve"> nukleáris alapú, valamint a széllel együtt 6230 </w:t>
      </w:r>
      <w:proofErr w:type="spellStart"/>
      <w:r w:rsidR="002D2668">
        <w:t>MW</w:t>
      </w:r>
      <w:r w:rsidR="002D2668" w:rsidRPr="002D2668">
        <w:rPr>
          <w:vertAlign w:val="subscript"/>
        </w:rPr>
        <w:t>e</w:t>
      </w:r>
      <w:proofErr w:type="spellEnd"/>
      <w:r w:rsidR="002D2668">
        <w:t xml:space="preserve"> időjárásfüggő </w:t>
      </w:r>
      <w:r w:rsidR="003076B1">
        <w:t>(</w:t>
      </w:r>
      <w:r w:rsidR="002D2668">
        <w:t>megújuló</w:t>
      </w:r>
      <w:r w:rsidR="003076B1">
        <w:t>)</w:t>
      </w:r>
      <w:r w:rsidR="002D2668">
        <w:t xml:space="preserve"> nettó beépített teljesítmény</w:t>
      </w:r>
      <w:proofErr w:type="gramEnd"/>
      <w:r w:rsidR="002D2668">
        <w:t xml:space="preserve"> </w:t>
      </w:r>
      <w:r w:rsidR="00E9213A">
        <w:fldChar w:fldCharType="begin" w:fldLock="1"/>
      </w:r>
      <w:r w:rsidR="0068451D">
        <w:instrText>ADDIN CSL_CITATION {"citationItems":[{"id":"ITEM-1","itemData":{"author":[{"dropping-particle":"","family":"Magyar Villamosenergia-ipari Átviteli Rendszerirányító ZRt.","given":"","non-dropping-particle":"","parse-names":false,"suffix":""}],"id":"ITEM-1","issued":{"date-parts":[["2019"]]},"title":"A Magyar Villamosenergia- rendszer közép- és hosszú távú forrásoldali kapacitás fejlesztése 2019.","type":"report"},"uris":["http://www.mendeley.com/documents/?uuid=95b92d8f-2ac7-4f91-b339-3a835ff8ed1f"]}],"mendeley":{"formattedCitation":"[3]","plainTextFormattedCitation":"[3]","previouslyFormattedCitation":"[3]"},"properties":{"noteIndex":0},"schema":"https://github.com/citation-style-language/schema/raw/master/csl-citation.json"}</w:instrText>
      </w:r>
      <w:r w:rsidR="00E9213A">
        <w:fldChar w:fldCharType="separate"/>
      </w:r>
      <w:r w:rsidR="00E9213A" w:rsidRPr="00E9213A">
        <w:rPr>
          <w:noProof/>
        </w:rPr>
        <w:t>[3]</w:t>
      </w:r>
      <w:r w:rsidR="00E9213A">
        <w:fldChar w:fldCharType="end"/>
      </w:r>
      <w:r w:rsidR="003076B1">
        <w:t>.</w:t>
      </w:r>
      <w:r w:rsidR="00D908D5">
        <w:t xml:space="preserve"> </w:t>
      </w:r>
      <w:r w:rsidR="003076B1">
        <w:t xml:space="preserve">Ez egyrészt kedvező, hiszen ebben az időszakban önellátóvá válhat az ország, másrészt komoly kihívásokat is </w:t>
      </w:r>
      <w:r w:rsidR="002814E4">
        <w:t xml:space="preserve">jelent, </w:t>
      </w:r>
      <w:r w:rsidR="00B93FE7">
        <w:t>mert a hazai VVER-440-es és tervezett VVER-1200-as blokkok csak korlátozott mértékben képesek menetrendtartó szerepet ellátni.</w:t>
      </w:r>
    </w:p>
    <w:p w:rsidR="003B5651" w:rsidRDefault="00E35EC3" w:rsidP="001C0974">
      <w:pPr>
        <w:jc w:val="both"/>
      </w:pPr>
      <w:r>
        <w:t>A</w:t>
      </w:r>
      <w:r w:rsidR="003B5651">
        <w:t xml:space="preserve"> hazai </w:t>
      </w:r>
      <w:r>
        <w:t>villamosenergia</w:t>
      </w:r>
      <w:r w:rsidR="00E62294">
        <w:t>-</w:t>
      </w:r>
      <w:r>
        <w:t xml:space="preserve">rendszerben a </w:t>
      </w:r>
      <w:r w:rsidR="003B5651">
        <w:t>VVER</w:t>
      </w:r>
      <w:r>
        <w:t xml:space="preserve"> blokkok alaperőműként üzemelnek, kihasználási óraszámuk messze 5500 h/év felett van és döntően a névleges üzemállapotuk környékén üzemelnek. Fontos azonban megjegyezni, hogy az alaperőművi üzemvitel </w:t>
      </w:r>
      <w:r w:rsidR="002146EA">
        <w:t xml:space="preserve">– adott </w:t>
      </w:r>
      <w:r w:rsidR="001737EA">
        <w:t xml:space="preserve">műszaki </w:t>
      </w:r>
      <w:r w:rsidR="002146EA">
        <w:t xml:space="preserve">szempontok teljesülése </w:t>
      </w:r>
      <w:r w:rsidR="00941512">
        <w:t>mellett</w:t>
      </w:r>
      <w:r w:rsidR="002146EA">
        <w:t xml:space="preserve"> – elsősorban gazdasági kérdés. Ha a déli órákban megjelenik </w:t>
      </w:r>
      <w:r w:rsidR="00941512">
        <w:t xml:space="preserve">több ezer </w:t>
      </w:r>
      <w:proofErr w:type="spellStart"/>
      <w:r w:rsidR="00941512">
        <w:t>MW</w:t>
      </w:r>
      <w:r w:rsidR="00941512" w:rsidRPr="004E6DB6">
        <w:rPr>
          <w:vertAlign w:val="subscript"/>
        </w:rPr>
        <w:t>e</w:t>
      </w:r>
      <w:proofErr w:type="spellEnd"/>
      <w:r w:rsidR="00941512">
        <w:t xml:space="preserve"> </w:t>
      </w:r>
      <w:r w:rsidR="004E6DB6">
        <w:t xml:space="preserve">magát korábban leírt, </w:t>
      </w:r>
      <w:r w:rsidR="00941512">
        <w:t xml:space="preserve">olcsó </w:t>
      </w:r>
      <w:r w:rsidR="004E6DB6">
        <w:t xml:space="preserve">napenergia, az az atomerőművek működését is áttolhatja a menetrendtartó tartományba. </w:t>
      </w:r>
      <w:r w:rsidR="00E04F31">
        <w:t xml:space="preserve">Bár hivatalos adat erre vonatkozóan nincs, a VVER-440-es blokkok fel- és leterhelési sebessége 1-2 </w:t>
      </w:r>
      <w:proofErr w:type="spellStart"/>
      <w:r w:rsidR="00E04F31">
        <w:t>MW</w:t>
      </w:r>
      <w:r w:rsidR="00E04F31" w:rsidRPr="00E04F31">
        <w:rPr>
          <w:vertAlign w:val="subscript"/>
        </w:rPr>
        <w:t>e</w:t>
      </w:r>
      <w:proofErr w:type="spellEnd"/>
      <w:r w:rsidR="00E04F31">
        <w:t xml:space="preserve">/perc </w:t>
      </w:r>
      <w:r w:rsidR="00977B44">
        <w:t>körül mozog, aminek a vastagfalú tartályok (reaktortartály, gőzfejlesztő-kollektor, köpeny, térfogat-kompenzátor) 20</w:t>
      </w:r>
      <w:r w:rsidR="0012071D">
        <w:t>°C</w:t>
      </w:r>
      <w:r w:rsidR="00977B44">
        <w:t xml:space="preserve">/h </w:t>
      </w:r>
      <w:r w:rsidR="0012071D">
        <w:t xml:space="preserve">körüli </w:t>
      </w:r>
      <w:r w:rsidR="001F7A33">
        <w:t xml:space="preserve">maximális </w:t>
      </w:r>
      <w:r w:rsidR="00977B44">
        <w:t>hőmérsékletváltozási sebessége</w:t>
      </w:r>
      <w:r w:rsidR="0012071D">
        <w:t xml:space="preserve"> szab fizikai korlátot.</w:t>
      </w:r>
      <w:r w:rsidR="001F7A33">
        <w:t xml:space="preserve"> </w:t>
      </w:r>
      <w:r w:rsidR="00A35402">
        <w:t xml:space="preserve">A névleges üzemállapottól pedig ritkán térnek el jobban, mint 50-60 </w:t>
      </w:r>
      <w:proofErr w:type="spellStart"/>
      <w:r w:rsidR="00A35402">
        <w:t>MW</w:t>
      </w:r>
      <w:r w:rsidR="00A35402" w:rsidRPr="00A35402">
        <w:rPr>
          <w:vertAlign w:val="subscript"/>
        </w:rPr>
        <w:t>e</w:t>
      </w:r>
      <w:proofErr w:type="spellEnd"/>
      <w:r w:rsidR="00B25615">
        <w:t>/blokk</w:t>
      </w:r>
      <w:r w:rsidR="00C178CC">
        <w:t xml:space="preserve"> (25-30 </w:t>
      </w:r>
      <w:proofErr w:type="spellStart"/>
      <w:r w:rsidR="00C178CC">
        <w:t>MW</w:t>
      </w:r>
      <w:r w:rsidR="00C178CC" w:rsidRPr="00C178CC">
        <w:rPr>
          <w:vertAlign w:val="subscript"/>
        </w:rPr>
        <w:t>e</w:t>
      </w:r>
      <w:proofErr w:type="spellEnd"/>
      <w:r w:rsidR="00C178CC">
        <w:t>/gőzturbina)</w:t>
      </w:r>
      <w:r w:rsidR="00B25615">
        <w:t>.</w:t>
      </w:r>
      <w:r w:rsidR="001C0974">
        <w:t xml:space="preserve"> Összehasonlításképpen elmondható, hogy egy menetrendtartó tartományban üzemelő </w:t>
      </w:r>
      <w:proofErr w:type="gramStart"/>
      <w:r w:rsidR="001C0974">
        <w:t>blokk terhelési</w:t>
      </w:r>
      <w:proofErr w:type="gramEnd"/>
      <w:r w:rsidR="001C0974">
        <w:t xml:space="preserve"> sebessége – technológiától függően – a 10-20 </w:t>
      </w:r>
      <w:proofErr w:type="spellStart"/>
      <w:r w:rsidR="001C0974">
        <w:t>MW</w:t>
      </w:r>
      <w:r w:rsidR="001C0974" w:rsidRPr="001C0974">
        <w:rPr>
          <w:vertAlign w:val="subscript"/>
        </w:rPr>
        <w:t>e</w:t>
      </w:r>
      <w:proofErr w:type="spellEnd"/>
      <w:r w:rsidR="00B439D5">
        <w:t xml:space="preserve">/perc </w:t>
      </w:r>
      <w:r w:rsidR="001C0974">
        <w:t>közötti tartományba</w:t>
      </w:r>
      <w:r w:rsidR="004738D4">
        <w:t xml:space="preserve"> esik</w:t>
      </w:r>
      <w:r w:rsidR="001C0974">
        <w:t>, terhelés</w:t>
      </w:r>
      <w:r w:rsidR="00526989">
        <w:t>e</w:t>
      </w:r>
      <w:r w:rsidR="001C0974">
        <w:t xml:space="preserve"> pedig 40-100% köz</w:t>
      </w:r>
      <w:r w:rsidR="004738D4">
        <w:t>ött szabályozható</w:t>
      </w:r>
      <w:r w:rsidR="001C0974">
        <w:t>.</w:t>
      </w:r>
    </w:p>
    <w:p w:rsidR="00E04F31" w:rsidRDefault="00776565" w:rsidP="00C32E8E">
      <w:pPr>
        <w:jc w:val="both"/>
      </w:pPr>
      <w:proofErr w:type="gramStart"/>
      <w:r>
        <w:t>A VVE</w:t>
      </w:r>
      <w:r w:rsidR="00B439D5">
        <w:t>R-1200-as blokknál a VVER-440-</w:t>
      </w:r>
      <w:r w:rsidR="00107DA7">
        <w:t>hez</w:t>
      </w:r>
      <w:r>
        <w:t xml:space="preserve"> hasonló fizikai korlátokat, valamint 70-100% közötti </w:t>
      </w:r>
      <w:proofErr w:type="spellStart"/>
      <w:r>
        <w:t>szabályozhatóságot</w:t>
      </w:r>
      <w:proofErr w:type="spellEnd"/>
      <w:r w:rsidR="001737EA" w:rsidRPr="001737EA">
        <w:t xml:space="preserve"> </w:t>
      </w:r>
      <w:r w:rsidR="001737EA">
        <w:t>feltételezve</w:t>
      </w:r>
      <w:r>
        <w:t xml:space="preserve">, könnyen belátható, hogy </w:t>
      </w:r>
      <w:r w:rsidR="00E62294" w:rsidRPr="00907961">
        <w:t>a villamosenergia</w:t>
      </w:r>
      <w:r w:rsidR="00E62294">
        <w:t>-</w:t>
      </w:r>
      <w:r w:rsidR="00E62294" w:rsidRPr="00907961">
        <w:t>rendszer</w:t>
      </w:r>
      <w:r w:rsidR="00E62294">
        <w:t>en belüli frekvenciatartás</w:t>
      </w:r>
      <w:r w:rsidR="005278B7">
        <w:t>hoz</w:t>
      </w:r>
      <w:r w:rsidR="00490430">
        <w:t xml:space="preserve"> – </w:t>
      </w:r>
      <w:r w:rsidR="006A5CC5">
        <w:t xml:space="preserve">amennyiben az exportált mennyiség </w:t>
      </w:r>
      <w:r w:rsidR="005278B7">
        <w:t>a fogyasztáshoz képesti többletforrás</w:t>
      </w:r>
      <w:r w:rsidR="006A5CC5">
        <w:t>nál kevesebb</w:t>
      </w:r>
      <w:r w:rsidR="00490430">
        <w:t xml:space="preserve"> – </w:t>
      </w:r>
      <w:r w:rsidR="00DC42AC">
        <w:t>energiatárolók beépítését</w:t>
      </w:r>
      <w:r w:rsidR="005278B7">
        <w:t xml:space="preserve"> </w:t>
      </w:r>
      <w:r w:rsidR="00DC42AC">
        <w:t xml:space="preserve">teheti </w:t>
      </w:r>
      <w:r w:rsidR="005278B7">
        <w:t>szükség</w:t>
      </w:r>
      <w:r w:rsidR="00DC42AC">
        <w:t>essé</w:t>
      </w:r>
      <w:proofErr w:type="gramEnd"/>
      <w:r w:rsidR="009974CC">
        <w:t xml:space="preserve"> </w:t>
      </w:r>
      <w:r w:rsidR="009974CC">
        <w:fldChar w:fldCharType="begin" w:fldLock="1"/>
      </w:r>
      <w:r w:rsidR="009974CC">
        <w:instrText>ADDIN CSL_CITATION {"citationItems":[{"id":"ITEM-1","itemData":{"DOI":"10.3390/en13236408","ISSN":"19961073","abstract":"With the spread of the use of renewable sources of energy, weather-dependent solar energy is also coming more and more to the fore. The quantity of generated electric power changes proportionally to the intensity of solar radiation. Thus, a cloudy day, for example, greatly reduces the amount of electricity produced from this energy source. In the countries of the European Union solar power plants are obligated to prepare power generation forecasts broken down to 15- or 60-min intervals. The interest of the regionally responsible transmission system operators is to be provided with forecasts with the least possible deviation from the actual figures. This paper examines the Visegrad countries’ intraday photovoltaic forecasts and their deviations from real power generation based on the photovoltaic power capacity monitored by the transmission system operators in each country. The novelty of this study lies in the fact that, in the context of monitored PV capacities in the Visegrad countries, it examines the regulation capacities needed for keeping the forecasts. After comparing the needs for positive and negative regulation, the author made deductions regarding storage possibilities complementing electrochemical regulation, based on the balance. The paper sought answers concerning the technologies required for the balancing of PV power plants in the examined countries. It was established that, as a result of photovoltaic power capacity regulation, among the four Visegrad countries, only the Hungarian transmission system operator has negative required power regulation, which could be utilized in power-to-gas plants. This power could be used to produce approximately 2.1 million Nm3 biomethane with a 98% methane content, which could be used to improve approximately 4 million Nm3 biogas of poor quality by enriching it (minimum 60% methane content), so that it can be utilized. The above process could enhance the viability of 4-6 low-methane agricultural biogas plants in Hungary.","author":[{"dropping-particle":"","family":"Pintér","given":"Gábor","non-dropping-particle":"","parse-names":false,"suffix":""}],"container-title":"Energies","id":"ITEM-1","issue":"23","issued":{"date-parts":[["2020"]]},"page":"1-14","title":"The potential role of power-to-gas technology connected to photovoltaic power plants in the visegrad countries-a case study","type":"article-journal","volume":"13"},"uris":["http://www.mendeley.com/documents/?uuid=e821937c-92a1-4474-a2bd-b35135ac181a"]}],"mendeley":{"formattedCitation":"[4]","plainTextFormattedCitation":"[4]"},"properties":{"noteIndex":0},"schema":"https://github.com/citation-style-language/schema/raw/master/csl-citation.json"}</w:instrText>
      </w:r>
      <w:r w:rsidR="009974CC">
        <w:fldChar w:fldCharType="separate"/>
      </w:r>
      <w:r w:rsidR="009974CC" w:rsidRPr="009974CC">
        <w:rPr>
          <w:noProof/>
        </w:rPr>
        <w:t>[4]</w:t>
      </w:r>
      <w:r w:rsidR="009974CC">
        <w:fldChar w:fldCharType="end"/>
      </w:r>
      <w:r w:rsidR="00DC42AC">
        <w:t>.</w:t>
      </w:r>
      <w:r w:rsidR="00C32E8E">
        <w:t xml:space="preserve"> </w:t>
      </w:r>
      <w:proofErr w:type="gramStart"/>
      <w:r w:rsidR="00C32E8E">
        <w:t xml:space="preserve">A tárolt energia formáját tekintve – ebben a mérettartományban – megkülönböztethetünk mechanikai, elektrokémiai/elektromos, valamint a </w:t>
      </w:r>
      <w:proofErr w:type="spellStart"/>
      <w:r w:rsidR="00C32E8E">
        <w:t>PtM</w:t>
      </w:r>
      <w:proofErr w:type="spellEnd"/>
      <w:r w:rsidR="00C32E8E">
        <w:t xml:space="preserve"> technológiát is magába foglaló alternatív, </w:t>
      </w:r>
      <w:r w:rsidR="00C32E8E" w:rsidRPr="007141B9">
        <w:t xml:space="preserve">alacsony szén-dioxid-kibocsátású </w:t>
      </w:r>
      <w:r w:rsidR="00C32E8E">
        <w:t>t</w:t>
      </w:r>
      <w:r w:rsidR="00C32E8E" w:rsidRPr="007141B9">
        <w:t>üze</w:t>
      </w:r>
      <w:r w:rsidR="00C32E8E">
        <w:t>lőanyagon alapuló villamosenergia-tárolókat</w:t>
      </w:r>
      <w:proofErr w:type="gramEnd"/>
      <w:r w:rsidR="0068451D">
        <w:t xml:space="preserve"> </w:t>
      </w:r>
      <w:r w:rsidR="0068451D">
        <w:fldChar w:fldCharType="begin" w:fldLock="1"/>
      </w:r>
      <w:r w:rsidR="009974CC">
        <w:instrText>ADDIN CSL_CITATION {"citationItems":[{"id":"ITEM-1","itemData":{"DOI":"10.1016/j.est.2020.101315","ISSN":"2352152X","abstract":"The frequency response of a large power system is affected by the penetration of renewable energy sources (RESs), where a utility-scale energy storage system (ESS) can alleviate the problem. This paper presents a strategy for sizing an ESS to improve frequency response of transmission networks. The location of the ESS in the transmission network is determined through a sensitivity analysis targeting minimum line loading around a bus. The ESS sizing strategy considers the minimization of frequency deviation as well as rate of change of frequency (ROCOF) after generator or load tripping events. The tuning of PQ controller parameters of the ESS (active power part) is also performed for frequency response improvement. The proposed approach is tested in a modified IEEE-39 bus power system considering a variety of scenarios where RESs are integrated as four different schemes for peak and off-peak load conditions. DIgSILENT PowerFactory is used for developing, testing, and analyzing the system models. A fitness-scaled chaotic artificial bee colony (FSCABC) optimization algorithm (a hybrid meta-heuristic approach) is used for optimization through a Python script automating simulation events in PowerFactory. The results obtained from the FSCABC approach are verified through the application of a particle swarm optimization algorithm. The simulation results suggest that the proposed ESS sizing technique including ESS controller tuning can successfully improve the frequency response of a transmission network.","author":[{"dropping-particle":"","family":"Das","given":"Choton K.","non-dropping-particle":"","parse-names":false,"suffix":""},{"dropping-particle":"","family":"Mahmoud","given":"Thair S.","non-dropping-particle":"","parse-names":false,"suffix":""},{"dropping-particle":"","family":"Bass","given":"Octavian","non-dropping-particle":"","parse-names":false,"suffix":""},{"dropping-particle":"","family":"Muyeen","given":"S. M.","non-dropping-particle":"","parse-names":false,"suffix":""},{"dropping-particle":"","family":"Kothapalli","given":"Ganesh","non-dropping-particle":"","parse-names":false,"suffix":""},{"dropping-particle":"","family":"Baniasadi","given":"Ali","non-dropping-particle":"","parse-names":false,"suffix":""},{"dropping-particle":"","family":"Mousavi","given":"Navid","non-dropping-particle":"","parse-names":false,"suffix":""}],"container-title":"Journal of Energy Storage","id":"ITEM-1","issue":"February","issued":{"date-parts":[["2020"]]},"page":"101315","publisher":"Elsevier","title":"Optimal sizing of a utility-scale energy storage system in transmission networks to improve frequency response","type":"article-journal","volume":"29"},"uris":["http://www.mendeley.com/documents/?uuid=486d506a-bee4-4047-b03b-adb3be81705c"]}],"mendeley":{"formattedCitation":"[5]","plainTextFormattedCitation":"[5]","previouslyFormattedCitation":"[4]"},"properties":{"noteIndex":0},"schema":"https://github.com/citation-style-language/schema/raw/master/csl-citation.json"}</w:instrText>
      </w:r>
      <w:r w:rsidR="0068451D">
        <w:fldChar w:fldCharType="separate"/>
      </w:r>
      <w:r w:rsidR="009974CC" w:rsidRPr="009974CC">
        <w:rPr>
          <w:noProof/>
        </w:rPr>
        <w:t>[5]</w:t>
      </w:r>
      <w:r w:rsidR="0068451D">
        <w:fldChar w:fldCharType="end"/>
      </w:r>
      <w:r w:rsidR="00C32E8E">
        <w:t>.</w:t>
      </w:r>
    </w:p>
    <w:p w:rsidR="00C32E8E" w:rsidRDefault="00C32E8E" w:rsidP="00C32E8E">
      <w:pPr>
        <w:jc w:val="both"/>
      </w:pPr>
      <w:r>
        <w:t xml:space="preserve">Az alternatív tüzelőanyag alapú energiatárolók általában nagy energiasűrűséggel és nagy teljesítménysűrűséggel, de alacsony tárolási hatásfokkal rendelkeznek, amit elsősorban az energiaátalakítási lánc során jelentkező veszteségek befolyásolnak. Ennek az energiatárolási módszernek előnye, hogy az </w:t>
      </w:r>
      <w:proofErr w:type="spellStart"/>
      <w:r>
        <w:t>elektroszintetizált</w:t>
      </w:r>
      <w:proofErr w:type="spellEnd"/>
      <w:r>
        <w:t xml:space="preserve"> tüzelőanyagok az előállítás helyétől eltérő helyen is felhasználhatók, azaz oxidálhatók. </w:t>
      </w:r>
      <w:proofErr w:type="gramStart"/>
      <w:r>
        <w:t xml:space="preserve">Amennyiben a tárolt tüzelőanyag gáz halmazállapotú, </w:t>
      </w:r>
      <w:proofErr w:type="spellStart"/>
      <w:r>
        <w:t>Power-to-Gas</w:t>
      </w:r>
      <w:proofErr w:type="spellEnd"/>
      <w:r>
        <w:t xml:space="preserve"> (</w:t>
      </w:r>
      <w:proofErr w:type="spellStart"/>
      <w:r>
        <w:t>PtG</w:t>
      </w:r>
      <w:proofErr w:type="spellEnd"/>
      <w:r>
        <w:t>) technológiáról beszélünk</w:t>
      </w:r>
      <w:proofErr w:type="gramEnd"/>
      <w:r w:rsidR="008B6C6E">
        <w:t xml:space="preserve"> </w:t>
      </w:r>
      <w:r w:rsidR="008B6C6E">
        <w:fldChar w:fldCharType="begin" w:fldLock="1"/>
      </w:r>
      <w:r w:rsidR="009974CC">
        <w:instrText>ADDIN CSL_CITATION {"citationItems":[{"id":"ITEM-1","itemData":{"DOI":"10.1016/j.adapen.2021.100060","ISSN":"26667924","abstract":"Current power systems are still highly reliant on dispatchable fossil fuels to meet variable electrical demand. As fossil fuel generation is progressively replaced with intermittent and less predictable renewable energy generation to decarbonize the power system, Electrical energy storage (EES) technologies are increasingly required to address the supply-demand balance challenge over a wide range of timescales. However, the current use of EES technologies in power systems is significantly below the estimated capacity required for power decarbonization. This paper presents a comprehensive review of EES technologies and investigates how to accelerate the uptake of EES in power systems by reviewing and discussing techno-economic requirements for EES. Individual EES technologies and power system applications are described, which provides guidance for the appraisal of specific EES technologies for specific power system services. Plausibly required scales and technology types of EES over different regions are then reviewed, followed by discussions on storage cost modelling and predictions for different EES technologies. Opportunities and challenges in developing scalable, economically viable and socio-environmental EES technologies are discussed. The paper explores EES's evolving roles and challenges in power system decarbonization and provides useful information and guidance on EES for further R&amp;D, storage market building and policy making in the transition to zero-carbon power systems.","author":[{"dropping-particle":"","family":"He","given":"Wei","non-dropping-particle":"","parse-names":false,"suffix":""},{"dropping-particle":"","family":"King","given":"Marcus","non-dropping-particle":"","parse-names":false,"suffix":""},{"dropping-particle":"","family":"Luo","given":"Xing","non-dropping-particle":"","parse-names":false,"suffix":""},{"dropping-particle":"","family":"Dooner","given":"Mark","non-dropping-particle":"","parse-names":false,"suffix":""},{"dropping-particle":"","family":"Li","given":"Dacheng","non-dropping-particle":"","parse-names":false,"suffix":""},{"dropping-particle":"","family":"Wang","given":"Jihong","non-dropping-particle":"","parse-names":false,"suffix":""}],"container-title":"Advances in Applied Energy","id":"ITEM-1","issue":"July","issued":{"date-parts":[["2021"]]},"page":"100060","publisher":"Elsevier Ltd","title":"Technologies and economics of electric energy storages in power systems: Review and perspective","type":"article-journal","volume":"4"},"uris":["http://www.mendeley.com/documents/?uuid=e90623ab-c854-4f26-81fc-5d839c721e56"]}],"mendeley":{"formattedCitation":"[6]","plainTextFormattedCitation":"[6]","previouslyFormattedCitation":"[5]"},"properties":{"noteIndex":0},"schema":"https://github.com/citation-style-language/schema/raw/master/csl-citation.json"}</w:instrText>
      </w:r>
      <w:r w:rsidR="008B6C6E">
        <w:fldChar w:fldCharType="separate"/>
      </w:r>
      <w:r w:rsidR="009974CC" w:rsidRPr="009974CC">
        <w:rPr>
          <w:noProof/>
        </w:rPr>
        <w:t>[6]</w:t>
      </w:r>
      <w:r w:rsidR="008B6C6E">
        <w:fldChar w:fldCharType="end"/>
      </w:r>
      <w:r>
        <w:t>.</w:t>
      </w:r>
    </w:p>
    <w:p w:rsidR="009639EF" w:rsidRDefault="00C32E8E" w:rsidP="00C32E8E">
      <w:pPr>
        <w:jc w:val="both"/>
      </w:pPr>
      <w:r>
        <w:t xml:space="preserve">A </w:t>
      </w:r>
      <w:proofErr w:type="spellStart"/>
      <w:r>
        <w:t>PtG</w:t>
      </w:r>
      <w:proofErr w:type="spellEnd"/>
      <w:r>
        <w:t xml:space="preserve"> gyűjtőfogalom, amely magába foglalja az energia hidrogénné (</w:t>
      </w:r>
      <w:proofErr w:type="spellStart"/>
      <w:r>
        <w:t>PtH</w:t>
      </w:r>
      <w:proofErr w:type="spellEnd"/>
      <w:r>
        <w:t>), vagy metánná (</w:t>
      </w:r>
      <w:proofErr w:type="spellStart"/>
      <w:r>
        <w:t>PtM</w:t>
      </w:r>
      <w:proofErr w:type="spellEnd"/>
      <w:r>
        <w:t xml:space="preserve">) történő alakítását. </w:t>
      </w:r>
      <w:proofErr w:type="gramStart"/>
      <w:r>
        <w:t>Az így kapott vegyületek elsősorban energiahordozóként kerülnek felhasználásra, de lehetőség van a létrejött anyagok kémiai alapanyagként történő további hasznosítására is</w:t>
      </w:r>
      <w:proofErr w:type="gramEnd"/>
      <w:r>
        <w:t xml:space="preserve"> </w:t>
      </w:r>
      <w:r>
        <w:fldChar w:fldCharType="begin" w:fldLock="1"/>
      </w:r>
      <w:r w:rsidR="009974CC">
        <w:instrText xml:space="preserve">ADDIN CSL_CITATION {"citationItems":[{"id":"ITEM-1","itemData":{"DOI":"10.1016/j.apenergy.2018.08.027","ISSN":"03062619","abstract":"Power-to-Methane (PtM) can provide flexibility to the electricity grid while aiding decarbonization of other sectors. This study focuses specifically on the methanation component of PtM in 2050. Scenarios with 80–95% CO2 reduction by 2050 (vs. 1990) are analyzed and barriers and drivers for methanation are identified. PtM arises for scenarios with 95% CO2 reduction, no CO2 underground storage and low CAPEX (75 €/kW only for methanation). Capacity deployed across EU is 40 GW (8% of gas demand) for these conditions, which increases to 122 GW when liquefied methane gas (LMG) is used for marine transport. The simultaneous occurrence of all positive drivers for PtM, which include limited biomass potential, low Power-to-Liquid performance, use of PtM waste heat, among others, can increase this capacity to 546 GW (75% of gas demand). Gas demand is reduced to between 3.8 and 14 EJ (compared to </w:instrText>
      </w:r>
      <w:r w:rsidR="009974CC">
        <w:rPr>
          <w:rFonts w:ascii="Cambria Math" w:hAnsi="Cambria Math" w:cs="Cambria Math"/>
        </w:rPr>
        <w:instrText>∼</w:instrText>
      </w:r>
      <w:r w:rsidR="009974CC">
        <w:instrText>20 EJ for 2015) with lower values corresponding to scenarios that are more restricted. Annual costs for PtM are between 2.5 and 10 bln</w:instrText>
      </w:r>
      <w:r w:rsidR="009974CC">
        <w:rPr>
          <w:rFonts w:ascii="Calibri" w:hAnsi="Calibri" w:cs="Calibri"/>
        </w:rPr>
        <w:instrText>€</w:instrText>
      </w:r>
      <w:r w:rsidR="009974CC">
        <w:instrText>/year with EU28</w:instrText>
      </w:r>
      <w:r w:rsidR="009974CC">
        <w:rPr>
          <w:rFonts w:ascii="Calibri" w:hAnsi="Calibri" w:cs="Calibri"/>
        </w:rPr>
        <w:instrText>’</w:instrText>
      </w:r>
      <w:r w:rsidR="009974CC">
        <w:instrText xml:space="preserve">s GDP being 15.3 trillion </w:instrText>
      </w:r>
      <w:r w:rsidR="009974CC">
        <w:rPr>
          <w:rFonts w:ascii="Calibri" w:hAnsi="Calibri" w:cs="Calibri"/>
        </w:rPr>
        <w:instrText>€</w:instrText>
      </w:r>
      <w:r w:rsidR="009974CC">
        <w:instrText>/year (2017). Results indicate that direct subsidy of the technology is more effective and specific than taxing the fossil alternative (natural gas) if the objective is to promote the technology. Studies with higher spatial resolution should be done to identify specific local conditions that could make PtM more attractive compared to an EU scale.","author":[{"dropping-particle":"","family":"Blanco","given":"Herib","non-dropping-particle":"","parse-names":false,"suffix":""},{"dropping-particle":"","family":"Nijs","given":"Wouter","non-dropping-particle":"","parse-names":false,"suffix":""},{"dropping-particle":"","family":"Ruf","given":"Johannes","non-dropping-particle":"","parse-names":false,"suffix":""},{"dropping-particle":"","family":"Faaij","given":"André","non-dropping-particle":"","parse-names":false,"suffix":""}],"container-title":"Applied Energy","id":"ITEM-1","issue":"April","issued":{"date-parts":[["2018"]]},"page":"323-340","publisher":"Elsevier","title":"Potential of Power-to-Methane in the EU energy transition to a low carbon system using cost optimization","type":"article-journal","volume":"232"},"uris":["http://www.mendeley.com/documents/?uuid=7a6f0496-c5ba-49ec-92e3-0721fb163c23"]}],"mendeley":{"formattedCitation":"[7]","plainTextFormattedCitation":"[7]","previouslyFormattedCitation":"[6]"},"properties":{"noteIndex":0},"schema":"https://github.com/citation-style-language/schema/raw/master/csl-citation.json"}</w:instrText>
      </w:r>
      <w:r>
        <w:fldChar w:fldCharType="separate"/>
      </w:r>
      <w:r w:rsidR="009974CC" w:rsidRPr="009974CC">
        <w:rPr>
          <w:noProof/>
        </w:rPr>
        <w:t>[7]</w:t>
      </w:r>
      <w:r>
        <w:fldChar w:fldCharType="end"/>
      </w:r>
      <w:r>
        <w:t xml:space="preserve">. Mivel a </w:t>
      </w:r>
      <w:proofErr w:type="spellStart"/>
      <w:r>
        <w:t>PtM</w:t>
      </w:r>
      <w:proofErr w:type="spellEnd"/>
      <w:r>
        <w:t xml:space="preserve"> technológia közbenső terméke H</w:t>
      </w:r>
      <w:r w:rsidRPr="00035290">
        <w:rPr>
          <w:vertAlign w:val="subscript"/>
        </w:rPr>
        <w:t>2</w:t>
      </w:r>
      <w:r>
        <w:t xml:space="preserve">, </w:t>
      </w:r>
      <w:r w:rsidR="00491895">
        <w:t xml:space="preserve">ami már önmagában is felhasználható energiatárolásra, </w:t>
      </w:r>
      <w:r>
        <w:t>kételyek merülhetnek fel a technológia hasznosságáról</w:t>
      </w:r>
      <w:r w:rsidR="00491895">
        <w:t xml:space="preserve"> (azaz a hidrogén </w:t>
      </w:r>
      <w:proofErr w:type="spellStart"/>
      <w:r w:rsidR="00491895">
        <w:t>továbbalakításának</w:t>
      </w:r>
      <w:proofErr w:type="spellEnd"/>
      <w:r w:rsidR="00491895">
        <w:t xml:space="preserve"> szükségességéről).</w:t>
      </w:r>
      <w:r w:rsidR="000702FC">
        <w:t xml:space="preserve"> M</w:t>
      </w:r>
      <w:r>
        <w:t>int egyéb esetekben, itt is elmondható, hogy m</w:t>
      </w:r>
      <w:r w:rsidRPr="00907961">
        <w:t xml:space="preserve">inél hosszabb </w:t>
      </w:r>
      <w:r>
        <w:t>egy</w:t>
      </w:r>
      <w:r w:rsidRPr="00907961">
        <w:t xml:space="preserve"> átalakítási lánc, az átalakítás során jelen</w:t>
      </w:r>
      <w:r>
        <w:t>t</w:t>
      </w:r>
      <w:r w:rsidRPr="00907961">
        <w:t>kező veszteség</w:t>
      </w:r>
      <w:r>
        <w:t>ek</w:t>
      </w:r>
      <w:r w:rsidRPr="00907961">
        <w:t xml:space="preserve"> mértéke annál </w:t>
      </w:r>
      <w:r>
        <w:t xml:space="preserve">nagyobb, ugyanakkor a végtermék is annál </w:t>
      </w:r>
      <w:r w:rsidR="0081693E">
        <w:t>értékesebb lehet.</w:t>
      </w:r>
    </w:p>
    <w:p w:rsidR="00DE323C" w:rsidRDefault="0081693E" w:rsidP="0081693E">
      <w:pPr>
        <w:jc w:val="both"/>
      </w:pPr>
      <w:r>
        <w:lastRenderedPageBreak/>
        <w:t xml:space="preserve">A </w:t>
      </w:r>
      <w:proofErr w:type="spellStart"/>
      <w:r>
        <w:t>PtM</w:t>
      </w:r>
      <w:proofErr w:type="spellEnd"/>
      <w:r>
        <w:t xml:space="preserve"> technológia számos előnnyel rendelkezik a </w:t>
      </w:r>
      <w:proofErr w:type="spellStart"/>
      <w:r>
        <w:t>PtH</w:t>
      </w:r>
      <w:proofErr w:type="spellEnd"/>
      <w:r>
        <w:t xml:space="preserve">-el szemben. </w:t>
      </w:r>
      <w:proofErr w:type="gramStart"/>
      <w:r w:rsidR="00F651B6">
        <w:t xml:space="preserve">A </w:t>
      </w:r>
      <w:proofErr w:type="spellStart"/>
      <w:r w:rsidR="00F651B6">
        <w:t>PtM</w:t>
      </w:r>
      <w:proofErr w:type="spellEnd"/>
      <w:r w:rsidR="00F651B6">
        <w:t xml:space="preserve"> technológia a kiépített földgáz hálózatok infrastruktúráit használva rugalmasan tudja kezelni a hullámzó betáplálást, így ellentétben a </w:t>
      </w:r>
      <w:proofErr w:type="spellStart"/>
      <w:r w:rsidR="00F651B6">
        <w:t>PtH</w:t>
      </w:r>
      <w:proofErr w:type="spellEnd"/>
      <w:r w:rsidR="00F651B6">
        <w:t xml:space="preserve"> technológiával, ahol az </w:t>
      </w:r>
      <w:proofErr w:type="spellStart"/>
      <w:r w:rsidR="00F651B6">
        <w:t>energetikailag</w:t>
      </w:r>
      <w:proofErr w:type="spellEnd"/>
      <w:r w:rsidR="00F651B6">
        <w:t xml:space="preserve">, pénzügyileg és </w:t>
      </w:r>
      <w:proofErr w:type="spellStart"/>
      <w:r w:rsidR="00F651B6">
        <w:t>technológiailag</w:t>
      </w:r>
      <w:proofErr w:type="spellEnd"/>
      <w:r w:rsidR="00F651B6">
        <w:t xml:space="preserve"> is kedvező H</w:t>
      </w:r>
      <w:r w:rsidR="00F651B6" w:rsidRPr="0047563B">
        <w:rPr>
          <w:vertAlign w:val="subscript"/>
        </w:rPr>
        <w:t>2</w:t>
      </w:r>
      <w:r w:rsidR="00F651B6">
        <w:t xml:space="preserve"> tárolási és szállítási megoldások még váratnak magukra, a </w:t>
      </w:r>
      <w:proofErr w:type="spellStart"/>
      <w:r w:rsidR="00F651B6">
        <w:t>PtM</w:t>
      </w:r>
      <w:proofErr w:type="spellEnd"/>
      <w:r w:rsidR="00F651B6">
        <w:t xml:space="preserve"> alkalmas hosszú távú </w:t>
      </w:r>
      <w:r w:rsidR="009974CC">
        <w:t xml:space="preserve">(szezonális) </w:t>
      </w:r>
      <w:r w:rsidR="00F651B6">
        <w:t>és nagyméretű energiatárolásra</w:t>
      </w:r>
      <w:proofErr w:type="gramEnd"/>
      <w:r w:rsidR="009974CC">
        <w:t xml:space="preserve"> </w:t>
      </w:r>
      <w:r w:rsidR="009974CC">
        <w:fldChar w:fldCharType="begin" w:fldLock="1"/>
      </w:r>
      <w:r w:rsidR="009974CC">
        <w:instrText>ADDIN CSL_CITATION {"citationItems":[{"id":"ITEM-1","itemData":{"DOI":"10.3390/en13184973","ISSN":"19961073","abstract":"Power-to-methane technology (P2M) deployment at wastewater treatment plants (WWTPs) for seasonal energy storage might land on the agenda of decision-makers across EU countries, since large WWTPs produce a notable volume of biogas that could be injected into the natural gas grid with remarkable storage capacities. Because of the recent rapid increase of local photovoltaics (PV), it is essential to explore the role of WWTPs in energy storage and the conditions under which this potential can be realized. This study integrates a techno-economic assessment of P2M technology with commercial/investment attractiveness of seasonal energy storage at large WWTPs. Findings show that a standardized 1 MWel P2M technology would fit with most potential sites. This is in line with the current technology readiness level of P2M, but increasing electricity prices and limited financial resources of WWTPs would decrease the commercial attractiveness of P2M technology deployment. Based on a Hungarian case study, public funding, biomethane feed-in tariff and minimized or compensated surplus electricity sourcing costs are essential to realize the energy storage potential at WWTPs.","author":[{"dropping-particle":"","family":"Csedo","given":"Zoltán","non-dropping-particle":"","parse-names":false,"suffix":""},{"dropping-particle":"","family":"Sinóros-Szabó","given":"Botond","non-dropping-particle":"","parse-names":false,"suffix":""},{"dropping-particle":"","family":"Zavarkó","given":"Máté","non-dropping-particle":"","parse-names":false,"suffix":""}],"container-title":"Energies","id":"ITEM-1","issue":"18","issued":{"date-parts":[["2020"]]},"title":"Seasonal energy storage potential assessment of WWTPs with power-to-methane technology","type":"article-journal","volume":"13"},"uris":["http://www.mendeley.com/documents/?uuid=6a68206c-d1a7-4452-ad7f-726e14dbe11d"]}],"mendeley":{"formattedCitation":"[8]","plainTextFormattedCitation":"[8]","previouslyFormattedCitation":"[7]"},"properties":{"noteIndex":0},"schema":"https://github.com/citation-style-language/schema/raw/master/csl-citation.json"}</w:instrText>
      </w:r>
      <w:r w:rsidR="009974CC">
        <w:fldChar w:fldCharType="separate"/>
      </w:r>
      <w:proofErr w:type="gramStart"/>
      <w:r w:rsidR="009974CC" w:rsidRPr="009974CC">
        <w:rPr>
          <w:noProof/>
        </w:rPr>
        <w:t>[8]</w:t>
      </w:r>
      <w:r w:rsidR="009974CC">
        <w:fldChar w:fldCharType="end"/>
      </w:r>
      <w:r w:rsidR="00F651B6">
        <w:t>, kisebb veszteség mellett, mint villamos energia esetében</w:t>
      </w:r>
      <w:proofErr w:type="gramEnd"/>
      <w:r w:rsidR="00CF0923">
        <w:t xml:space="preserve"> </w:t>
      </w:r>
      <w:r w:rsidR="00CF0923">
        <w:fldChar w:fldCharType="begin" w:fldLock="1"/>
      </w:r>
      <w:r w:rsidR="009974CC">
        <w:instrText xml:space="preserve">ADDIN CSL_CITATION {"citationItems":[{"id":"ITEM-1","itemData":{"DOI":"10.1016/j.apenergy.2018.08.027","ISSN":"03062619","abstract":"Power-to-Methane (PtM) can provide flexibility to the electricity grid while aiding decarbonization of other sectors. This study focuses specifically on the methanation component of PtM in 2050. Scenarios with 80–95% CO2 reduction by 2050 (vs. 1990) are analyzed and barriers and drivers for methanation are identified. PtM arises for scenarios with 95% CO2 reduction, no CO2 underground storage and low CAPEX (75 €/kW only for methanation). Capacity deployed across EU is 40 GW (8% of gas demand) for these conditions, which increases to 122 GW when liquefied methane gas (LMG) is used for marine transport. The simultaneous occurrence of all positive drivers for PtM, which include limited biomass potential, low Power-to-Liquid performance, use of PtM waste heat, among others, can increase this capacity to 546 GW (75% of gas demand). Gas demand is reduced to between 3.8 and 14 EJ (compared to </w:instrText>
      </w:r>
      <w:r w:rsidR="009974CC">
        <w:rPr>
          <w:rFonts w:ascii="Cambria Math" w:hAnsi="Cambria Math" w:cs="Cambria Math"/>
        </w:rPr>
        <w:instrText>∼</w:instrText>
      </w:r>
      <w:r w:rsidR="009974CC">
        <w:instrText>20 EJ for 2015) with lower values corresponding to scenarios that are more restricted. Annual costs for PtM are between 2.5 and 10 bln</w:instrText>
      </w:r>
      <w:r w:rsidR="009974CC">
        <w:rPr>
          <w:rFonts w:ascii="Calibri" w:hAnsi="Calibri" w:cs="Calibri"/>
        </w:rPr>
        <w:instrText>€</w:instrText>
      </w:r>
      <w:r w:rsidR="009974CC">
        <w:instrText>/year with EU28</w:instrText>
      </w:r>
      <w:r w:rsidR="009974CC">
        <w:rPr>
          <w:rFonts w:ascii="Calibri" w:hAnsi="Calibri" w:cs="Calibri"/>
        </w:rPr>
        <w:instrText>’</w:instrText>
      </w:r>
      <w:r w:rsidR="009974CC">
        <w:instrText xml:space="preserve">s GDP being 15.3 trillion </w:instrText>
      </w:r>
      <w:r w:rsidR="009974CC">
        <w:rPr>
          <w:rFonts w:ascii="Calibri" w:hAnsi="Calibri" w:cs="Calibri"/>
        </w:rPr>
        <w:instrText>€</w:instrText>
      </w:r>
      <w:r w:rsidR="009974CC">
        <w:instrText>/year (2017). Results indicate that direct subsidy of the technology is more effective and specific than taxing the fossil alternative (natural gas) if the objective is to promote the technology. Studies with higher spatial resolution should be done to identify specific local conditions that could make PtM more attractive compared to an EU scale.","author":[{"dropping-particle":"","family":"Blanco","given":"Herib","non-dropping-particle":"","parse-names":false,"suffix":""},{"dropping-particle":"","family":"Nijs","given":"Wouter","non-dropping-particle":"","parse-names":false,"suffix":""},{"dropping-particle":"","family":"Ruf","given":"Johannes","non-dropping-particle":"","parse-names":false,"suffix":""},{"dropping-particle":"","family":"Faaij","given":"André","non-dropping-particle":"","parse-names":false,"suffix":""}],"container-title":"Applied Energy","id":"ITEM-1","issue":"April","issued":{"date-parts":[["2018"]]},"page":"323-340","publisher":"Elsevier","title":"Potential of Power-to-Methane in the EU energy transition to a low carbon system using cost optimization","type":"article-journal","volume":"232"},"uris":["http://www.mendeley.com/documents/?uuid=7a6f0496-c5ba-49ec-92e3-0721fb163c23"]}],"mendeley":{"formattedCitation":"[7]","plainTextFormattedCitation":"[7]","previouslyFormattedCitation":"[6]"},"properties":{"noteIndex":0},"schema":"https://github.com/citation-style-language/schema/raw/master/csl-citation.json"}</w:instrText>
      </w:r>
      <w:r w:rsidR="00CF0923">
        <w:fldChar w:fldCharType="separate"/>
      </w:r>
      <w:r w:rsidR="009974CC" w:rsidRPr="009974CC">
        <w:rPr>
          <w:noProof/>
        </w:rPr>
        <w:t>[7]</w:t>
      </w:r>
      <w:r w:rsidR="00CF0923">
        <w:fldChar w:fldCharType="end"/>
      </w:r>
      <w:r w:rsidR="00F651B6">
        <w:t xml:space="preserve">. </w:t>
      </w:r>
      <w:proofErr w:type="gramStart"/>
      <w:r>
        <w:t>CH</w:t>
      </w:r>
      <w:r w:rsidRPr="00942BDA">
        <w:rPr>
          <w:vertAlign w:val="subscript"/>
        </w:rPr>
        <w:t>4</w:t>
      </w:r>
      <w:r>
        <w:t>-nak nagyobb az energiasűrűsége, mint a H</w:t>
      </w:r>
      <w:r w:rsidRPr="00942BDA">
        <w:rPr>
          <w:vertAlign w:val="subscript"/>
        </w:rPr>
        <w:t>2</w:t>
      </w:r>
      <w:r>
        <w:t>-nek (LHV</w:t>
      </w:r>
      <w:r w:rsidRPr="003A1F33">
        <w:rPr>
          <w:vertAlign w:val="subscript"/>
        </w:rPr>
        <w:t>CH4</w:t>
      </w:r>
      <w:r>
        <w:t>=1359 kWh/m</w:t>
      </w:r>
      <w:r w:rsidRPr="00404801">
        <w:rPr>
          <w:vertAlign w:val="superscript"/>
        </w:rPr>
        <w:t>3</w:t>
      </w:r>
      <w:r>
        <w:t>; LHV</w:t>
      </w:r>
      <w:r w:rsidRPr="003A1F33">
        <w:rPr>
          <w:vertAlign w:val="subscript"/>
        </w:rPr>
        <w:t>H</w:t>
      </w:r>
      <w:r>
        <w:rPr>
          <w:vertAlign w:val="subscript"/>
        </w:rPr>
        <w:t>2</w:t>
      </w:r>
      <w:r>
        <w:t>=272 kWh/m</w:t>
      </w:r>
      <w:r w:rsidRPr="00C92DDC">
        <w:rPr>
          <w:vertAlign w:val="superscript"/>
        </w:rPr>
        <w:t>3</w:t>
      </w:r>
      <w:proofErr w:type="gramEnd"/>
      <w:r>
        <w:t xml:space="preserve"> </w:t>
      </w:r>
      <w:r>
        <w:fldChar w:fldCharType="begin" w:fldLock="1"/>
      </w:r>
      <w:r w:rsidR="009974CC">
        <w:instrText>ADDIN CSL_CITATION {"citationItems":[{"id":"ITEM-1","itemData":{"abstract":"The main objective of WP2 is to document the current state of learning on the benchmarking of large scale long term hydrogen underground energy storage against other complementary and/or competing concepts to allow high penetration of renewable electricity.","author":[{"dropping-particle":"","family":"Crotogino","given":"Fritz","non-dropping-particle":"","parse-names":false,"suffix":""},{"dropping-particle":"","family":"Landinger","given":"Hubert","non-dropping-particle":"","parse-names":false,"suffix":""},{"dropping-particle":"","family":"Bünger","given":"Ulrich","non-dropping-particle":"","parse-names":false,"suffix":""},{"dropping-particle":"","family":"Raksha","given":"Tetyana","non-dropping-particle":"","parse-names":false,"suffix":""},{"dropping-particle":"","family":"Simon","given":"Jesus","non-dropping-particle":"","parse-names":false,"suffix":""},{"dropping-particle":"","family":"Correas","given":"Luis","non-dropping-particle":"","parse-names":false,"suffix":""}],"container-title":"HyUnder project","id":"ITEM-1","issue":"August","issued":{"date-parts":[["2014"]]},"number-of-pages":"65","title":"Update of Benchmarking of large scale hydrogen underground storage with competing options","type":"report"},"uris":["http://www.mendeley.com/documents/?uuid=86e3bbe7-f543-4f8a-80e6-8a01d4567a30"]}],"mendeley":{"formattedCitation":"[9]","plainTextFormattedCitation":"[9]","previouslyFormattedCitation":"[8]"},"properties":{"noteIndex":0},"schema":"https://github.com/citation-style-language/schema/raw/master/csl-citation.json"}</w:instrText>
      </w:r>
      <w:r>
        <w:fldChar w:fldCharType="separate"/>
      </w:r>
      <w:r w:rsidR="009974CC" w:rsidRPr="009974CC">
        <w:rPr>
          <w:noProof/>
        </w:rPr>
        <w:t>[9]</w:t>
      </w:r>
      <w:r>
        <w:fldChar w:fldCharType="end"/>
      </w:r>
      <w:r>
        <w:t xml:space="preserve">) </w:t>
      </w:r>
      <w:r w:rsidR="00A15C52">
        <w:t xml:space="preserve">ami </w:t>
      </w:r>
      <w:r w:rsidR="00F651B6">
        <w:t>további</w:t>
      </w:r>
      <w:r w:rsidR="00A15C52">
        <w:t xml:space="preserve"> előny a tárolás és szállítás szempontjából. </w:t>
      </w:r>
      <w:r w:rsidR="00784172">
        <w:t xml:space="preserve">A </w:t>
      </w:r>
      <w:r w:rsidR="00F651B6">
        <w:t>H</w:t>
      </w:r>
      <w:r w:rsidR="00F651B6" w:rsidRPr="00F651B6">
        <w:rPr>
          <w:vertAlign w:val="subscript"/>
        </w:rPr>
        <w:t>2</w:t>
      </w:r>
      <w:r w:rsidR="00F651B6">
        <w:t>-nek magasabb az adiabatikus lánghőmérséklete, mint a CH</w:t>
      </w:r>
      <w:r w:rsidR="00F651B6" w:rsidRPr="00942BDA">
        <w:rPr>
          <w:vertAlign w:val="subscript"/>
        </w:rPr>
        <w:t>4</w:t>
      </w:r>
      <w:r w:rsidR="00F651B6">
        <w:t>-nak (T</w:t>
      </w:r>
      <w:r w:rsidR="00F651B6" w:rsidRPr="00F651B6">
        <w:rPr>
          <w:vertAlign w:val="subscript"/>
        </w:rPr>
        <w:t>H2</w:t>
      </w:r>
      <w:r w:rsidR="00F651B6">
        <w:t>=</w:t>
      </w:r>
      <w:r w:rsidR="00F651B6" w:rsidRPr="00DE323C">
        <w:t>2254</w:t>
      </w:r>
      <w:r w:rsidR="00F651B6">
        <w:t>°C, T</w:t>
      </w:r>
      <w:r w:rsidR="00F651B6">
        <w:rPr>
          <w:vertAlign w:val="subscript"/>
        </w:rPr>
        <w:t>CH4</w:t>
      </w:r>
      <w:r w:rsidR="00F651B6">
        <w:t>=</w:t>
      </w:r>
      <w:r w:rsidR="00F651B6" w:rsidRPr="00DE323C">
        <w:t>1963</w:t>
      </w:r>
      <w:r w:rsidR="00F651B6">
        <w:t>°C), így közvetlen tüzelésére csak erre a célra kialakított égőkkel van lehetőség, esetleg más tüzelőanyagba való bekeverés mellett.</w:t>
      </w:r>
    </w:p>
    <w:p w:rsidR="0027624D" w:rsidRDefault="00CE7411" w:rsidP="0081693E">
      <w:pPr>
        <w:jc w:val="both"/>
      </w:pPr>
      <w:r>
        <w:t xml:space="preserve">A </w:t>
      </w:r>
      <w:proofErr w:type="spellStart"/>
      <w:r w:rsidR="00953439">
        <w:t>PtM</w:t>
      </w:r>
      <w:proofErr w:type="spellEnd"/>
      <w:r w:rsidR="00953439">
        <w:t xml:space="preserve"> </w:t>
      </w:r>
      <w:r>
        <w:t xml:space="preserve">technológia hazai terjedését két tényező hátráltathatja: a </w:t>
      </w:r>
      <w:proofErr w:type="spellStart"/>
      <w:r>
        <w:t>biometán</w:t>
      </w:r>
      <w:proofErr w:type="spellEnd"/>
      <w:r>
        <w:t xml:space="preserve"> előállítás</w:t>
      </w:r>
      <w:r w:rsidR="00953439">
        <w:t>ához szükséges tiszta CO</w:t>
      </w:r>
      <w:r w:rsidR="00953439" w:rsidRPr="00953439">
        <w:rPr>
          <w:vertAlign w:val="subscript"/>
        </w:rPr>
        <w:t>2</w:t>
      </w:r>
      <w:r w:rsidR="00953439">
        <w:t xml:space="preserve"> alacsony mennyisége, valamint a </w:t>
      </w:r>
      <w:proofErr w:type="spellStart"/>
      <w:r w:rsidR="00953439">
        <w:t>PtH-hez</w:t>
      </w:r>
      <w:proofErr w:type="spellEnd"/>
      <w:r w:rsidR="00953439">
        <w:t xml:space="preserve"> képesti alacsonyabb átalakítási hatásfok. </w:t>
      </w:r>
      <w:proofErr w:type="gramStart"/>
      <w:r w:rsidR="00AC4A29">
        <w:t>Az átalakítási hatásfokok (kibocsátott anyagáram energiatartalma (HHV) és a bevitt energia hányadosa) H</w:t>
      </w:r>
      <w:r w:rsidR="00AC4A29" w:rsidRPr="00C707ED">
        <w:rPr>
          <w:vertAlign w:val="subscript"/>
        </w:rPr>
        <w:t>2</w:t>
      </w:r>
      <w:r w:rsidR="00AC4A29">
        <w:t xml:space="preserve"> esetében – kompresszió nélkül – 64-77% között (elektrolízis), míg CH</w:t>
      </w:r>
      <w:r w:rsidR="00AC4A29" w:rsidRPr="00C707ED">
        <w:rPr>
          <w:vertAlign w:val="subscript"/>
        </w:rPr>
        <w:t>4</w:t>
      </w:r>
      <w:r w:rsidR="00AC4A29">
        <w:t>-re történő átalakítás esetében 51-65% között változnak</w:t>
      </w:r>
      <w:proofErr w:type="gramEnd"/>
      <w:r w:rsidR="00AC4A29">
        <w:t xml:space="preserve"> </w:t>
      </w:r>
      <w:r w:rsidR="00AC4A29">
        <w:fldChar w:fldCharType="begin" w:fldLock="1"/>
      </w:r>
      <w:r w:rsidR="009974CC">
        <w:instrText>ADDIN CSL_CITATION {"citationItems":[{"id":"ITEM-1","itemData":{"DOI":"10.1007/978-3-319-03995-4","ISBN":"9783319039954","author":[{"dropping-particle":"","family":"Lehner","given":"Markus","non-dropping-particle":"","parse-names":false,"suffix":""},{"dropping-particle":"","family":"Tichler","given":"Robert","non-dropping-particle":"","parse-names":false,"suffix":""},{"dropping-particle":"","family":"Steinmüller","given":"Horst","non-dropping-particle":"","parse-names":false,"suffix":""},{"dropping-particle":"","family":"Koppe","given":"Markus","non-dropping-particle":"","parse-names":false,"suffix":""}],"container-title":"Power-to-Gas: Technology and Business Models.","edition":"SpringerBr","id":"ITEM-1","issued":{"date-parts":[["2014"]]},"page":"7-17","publisher":"Springer","title":"The Power-to-Gas Concept","type":"chapter"},"uris":["http://www.mendeley.com/documents/?uuid=18d2bdb5-6a4c-4e2e-bb1d-cc098ed4577e"]}],"mendeley":{"formattedCitation":"[10]","plainTextFormattedCitation":"[10]","previouslyFormattedCitation":"[9]"},"properties":{"noteIndex":0},"schema":"https://github.com/citation-style-language/schema/raw/master/csl-citation.json"}</w:instrText>
      </w:r>
      <w:r w:rsidR="00AC4A29">
        <w:fldChar w:fldCharType="separate"/>
      </w:r>
      <w:r w:rsidR="009974CC" w:rsidRPr="009974CC">
        <w:rPr>
          <w:noProof/>
        </w:rPr>
        <w:t>[10]</w:t>
      </w:r>
      <w:r w:rsidR="00AC4A29">
        <w:fldChar w:fldCharType="end"/>
      </w:r>
      <w:r w:rsidR="00AC4A29">
        <w:t>.</w:t>
      </w:r>
    </w:p>
    <w:p w:rsidR="00DE323C" w:rsidRDefault="007F5216" w:rsidP="0081693E">
      <w:pPr>
        <w:jc w:val="both"/>
      </w:pPr>
      <w:r>
        <w:t xml:space="preserve">Szem előtt tartva a hazai </w:t>
      </w:r>
      <w:r w:rsidR="003C5D28" w:rsidRPr="003C5D28">
        <w:t>villamosenergia-hálózat</w:t>
      </w:r>
      <w:r w:rsidR="003C5D28">
        <w:t xml:space="preserve"> középtávú fejlődési irányát,</w:t>
      </w:r>
      <w:r w:rsidR="003C5D28" w:rsidRPr="003C5D28">
        <w:t xml:space="preserve"> </w:t>
      </w:r>
      <w:r w:rsidR="003C5D28">
        <w:t>a</w:t>
      </w:r>
      <w:r w:rsidR="00033951">
        <w:t xml:space="preserve">lábbi </w:t>
      </w:r>
      <w:r w:rsidR="00C437AA">
        <w:t xml:space="preserve">tanulmány áttekintést ad </w:t>
      </w:r>
      <w:r w:rsidR="003C5D28">
        <w:t xml:space="preserve">a </w:t>
      </w:r>
      <w:proofErr w:type="spellStart"/>
      <w:r w:rsidR="00C437AA">
        <w:t>PtM</w:t>
      </w:r>
      <w:proofErr w:type="spellEnd"/>
      <w:r w:rsidR="00C437AA">
        <w:t xml:space="preserve"> </w:t>
      </w:r>
      <w:r w:rsidR="000667F5">
        <w:t>eljárás</w:t>
      </w:r>
      <w:r w:rsidR="003C5D28">
        <w:t xml:space="preserve"> résztechnológiá</w:t>
      </w:r>
      <w:r w:rsidR="000667F5">
        <w:t>i</w:t>
      </w:r>
      <w:r w:rsidR="003C5D28">
        <w:t>ról, valamint egy</w:t>
      </w:r>
      <w:r w:rsidR="00C437AA">
        <w:t xml:space="preserve"> </w:t>
      </w:r>
      <w:r w:rsidR="00033951">
        <w:t>esettanulmány</w:t>
      </w:r>
      <w:r w:rsidR="003C5D28">
        <w:t>on keresztül</w:t>
      </w:r>
      <w:r w:rsidR="00033951">
        <w:t xml:space="preserve"> bemutatja</w:t>
      </w:r>
      <w:r w:rsidR="007C0455">
        <w:t xml:space="preserve">, </w:t>
      </w:r>
      <w:r w:rsidR="003C5D28">
        <w:t xml:space="preserve">hogyan </w:t>
      </w:r>
      <w:r w:rsidR="007C0455">
        <w:t xml:space="preserve">növelhető </w:t>
      </w:r>
      <w:r w:rsidR="0027624D">
        <w:t xml:space="preserve">a </w:t>
      </w:r>
      <w:proofErr w:type="spellStart"/>
      <w:r w:rsidR="0027624D">
        <w:t>PtM</w:t>
      </w:r>
      <w:proofErr w:type="spellEnd"/>
      <w:r w:rsidR="0027624D">
        <w:t xml:space="preserve"> technológia átalakítási hatásfok</w:t>
      </w:r>
      <w:r w:rsidR="007C0455">
        <w:t>a</w:t>
      </w:r>
      <w:r w:rsidR="00841AA4">
        <w:t xml:space="preserve"> egy, </w:t>
      </w:r>
      <w:r w:rsidR="00841AA4" w:rsidRPr="00E5217D">
        <w:t xml:space="preserve">a </w:t>
      </w:r>
      <w:r w:rsidR="00491895" w:rsidRPr="00E5217D">
        <w:t xml:space="preserve">villamosenergia </w:t>
      </w:r>
      <w:r w:rsidR="00841AA4" w:rsidRPr="00E5217D">
        <w:t>be</w:t>
      </w:r>
      <w:r w:rsidR="00491895" w:rsidRPr="00E5217D">
        <w:t>táplálási</w:t>
      </w:r>
      <w:r w:rsidR="00841AA4" w:rsidRPr="00E5217D">
        <w:t xml:space="preserve"> oldal</w:t>
      </w:r>
      <w:r w:rsidR="00491895" w:rsidRPr="00E5217D">
        <w:t>á</w:t>
      </w:r>
      <w:r w:rsidR="00841AA4" w:rsidRPr="00E5217D">
        <w:t>ra illesztett</w:t>
      </w:r>
      <w:r w:rsidR="0027624D" w:rsidRPr="00E5217D">
        <w:t xml:space="preserve"> </w:t>
      </w:r>
      <w:r w:rsidR="00033951" w:rsidRPr="00E5217D">
        <w:t xml:space="preserve">szerves </w:t>
      </w:r>
      <w:proofErr w:type="spellStart"/>
      <w:r w:rsidR="00033951" w:rsidRPr="00E5217D">
        <w:t>Rankine</w:t>
      </w:r>
      <w:proofErr w:type="spellEnd"/>
      <w:r w:rsidR="00033951" w:rsidRPr="00E5217D">
        <w:t>-ciklus</w:t>
      </w:r>
      <w:r w:rsidR="007C0455" w:rsidRPr="00E5217D">
        <w:t xml:space="preserve"> (</w:t>
      </w:r>
      <w:r w:rsidR="0027624D" w:rsidRPr="00E5217D">
        <w:t>ORC</w:t>
      </w:r>
      <w:r w:rsidR="007C0455" w:rsidRPr="00E5217D">
        <w:t>)</w:t>
      </w:r>
      <w:r w:rsidR="0027624D" w:rsidRPr="00E5217D">
        <w:t xml:space="preserve"> illesztésén keresztül</w:t>
      </w:r>
      <w:r w:rsidR="007C0455">
        <w:t>.</w:t>
      </w:r>
    </w:p>
    <w:p w:rsidR="002E79FA" w:rsidRPr="002E79FA" w:rsidRDefault="00333F46" w:rsidP="004677BC">
      <w:pPr>
        <w:pStyle w:val="Heading1"/>
      </w:pPr>
      <w:proofErr w:type="spellStart"/>
      <w:r w:rsidRPr="002E79FA">
        <w:t>Pt</w:t>
      </w:r>
      <w:r w:rsidR="001033EA" w:rsidRPr="002E79FA">
        <w:t>M</w:t>
      </w:r>
      <w:proofErr w:type="spellEnd"/>
      <w:r w:rsidRPr="002E79FA">
        <w:t xml:space="preserve"> technológi</w:t>
      </w:r>
      <w:r w:rsidR="00AB1D18" w:rsidRPr="002E79FA">
        <w:t>a</w:t>
      </w:r>
      <w:r w:rsidR="001033EA" w:rsidRPr="002E79FA">
        <w:t>i áttekintés</w:t>
      </w:r>
      <w:r w:rsidR="002E79FA" w:rsidRPr="002E79FA">
        <w:t>e</w:t>
      </w:r>
    </w:p>
    <w:p w:rsidR="00EC5D8D" w:rsidRDefault="000702A1" w:rsidP="00C800D4">
      <w:pPr>
        <w:jc w:val="both"/>
      </w:pPr>
      <w:proofErr w:type="gramStart"/>
      <w:r>
        <w:t xml:space="preserve">Azzal, hogy a </w:t>
      </w:r>
      <w:r w:rsidR="006E0A4C" w:rsidRPr="006E0A4C">
        <w:t>villamosenergia-átviteli hálózat</w:t>
      </w:r>
      <w:r w:rsidR="006E0A4C">
        <w:t>ban</w:t>
      </w:r>
      <w:r w:rsidR="006E0A4C" w:rsidRPr="006E0A4C">
        <w:t xml:space="preserve"> </w:t>
      </w:r>
      <w:r>
        <w:t xml:space="preserve">időszakosan jelentkező többlet villamos energiát a </w:t>
      </w:r>
      <w:proofErr w:type="spellStart"/>
      <w:r>
        <w:t>PtM</w:t>
      </w:r>
      <w:proofErr w:type="spellEnd"/>
      <w:r>
        <w:t xml:space="preserve"> technológia – habár ez a </w:t>
      </w:r>
      <w:proofErr w:type="spellStart"/>
      <w:r>
        <w:t>PtG</w:t>
      </w:r>
      <w:proofErr w:type="spellEnd"/>
      <w:r>
        <w:t xml:space="preserve"> technológiáról általánosan is elmondható – </w:t>
      </w:r>
      <w:r w:rsidR="00EC5D8D">
        <w:t xml:space="preserve">képes a </w:t>
      </w:r>
      <w:r w:rsidR="006E0A4C">
        <w:t xml:space="preserve">vezetékes </w:t>
      </w:r>
      <w:r w:rsidR="00EC5D8D">
        <w:t>földgáz hálózat</w:t>
      </w:r>
      <w:r w:rsidR="006E0A4C">
        <w:t>ba táplálható</w:t>
      </w:r>
      <w:r w:rsidR="00EC5D8D">
        <w:t xml:space="preserve"> gázzá alakítani, a technológia </w:t>
      </w:r>
      <w:r>
        <w:t xml:space="preserve">összekapcsolja </w:t>
      </w:r>
      <w:r w:rsidR="00EC5D8D">
        <w:t>a villamos és földgáz hálózatokat</w:t>
      </w:r>
      <w:proofErr w:type="gramEnd"/>
      <w:r w:rsidR="00ED48AB">
        <w:t xml:space="preserve"> </w:t>
      </w:r>
      <w:r w:rsidR="00ED48AB">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ED48AB">
        <w:fldChar w:fldCharType="separate"/>
      </w:r>
      <w:r w:rsidR="009974CC" w:rsidRPr="009974CC">
        <w:rPr>
          <w:noProof/>
        </w:rPr>
        <w:t>[11]</w:t>
      </w:r>
      <w:r w:rsidR="00ED48AB">
        <w:fldChar w:fldCharType="end"/>
      </w:r>
      <w:r w:rsidR="00EC5D8D">
        <w:t xml:space="preserve">. A folyamat két lépésben, </w:t>
      </w:r>
      <w:r w:rsidR="00DA6BCD">
        <w:t xml:space="preserve">vízbontással történő </w:t>
      </w:r>
      <w:r w:rsidR="001F3439">
        <w:t>H</w:t>
      </w:r>
      <w:r w:rsidR="001F3439" w:rsidRPr="001F3439">
        <w:rPr>
          <w:vertAlign w:val="subscript"/>
        </w:rPr>
        <w:t>2</w:t>
      </w:r>
      <w:r w:rsidR="001F3439">
        <w:t xml:space="preserve"> e</w:t>
      </w:r>
      <w:r w:rsidR="00DA6BCD">
        <w:t>lőállítás</w:t>
      </w:r>
      <w:r w:rsidR="001F3439">
        <w:t>a</w:t>
      </w:r>
      <w:r w:rsidR="00DA6BCD">
        <w:t xml:space="preserve">, </w:t>
      </w:r>
      <w:r w:rsidR="001F3439">
        <w:t>valamint</w:t>
      </w:r>
      <w:r w:rsidR="00DA6BCD">
        <w:t xml:space="preserve"> az előállított</w:t>
      </w:r>
      <w:r w:rsidR="00EC5D8D">
        <w:t xml:space="preserve"> H</w:t>
      </w:r>
      <w:r w:rsidR="00EC5D8D" w:rsidRPr="001F3439">
        <w:rPr>
          <w:vertAlign w:val="subscript"/>
        </w:rPr>
        <w:t>2</w:t>
      </w:r>
      <w:r w:rsidR="00EC5D8D">
        <w:t xml:space="preserve"> </w:t>
      </w:r>
      <w:r w:rsidR="001F3439">
        <w:t xml:space="preserve">külső </w:t>
      </w:r>
      <w:r w:rsidR="001F3439" w:rsidRPr="001F3439">
        <w:t xml:space="preserve">CO </w:t>
      </w:r>
      <w:r w:rsidR="001F3439">
        <w:t>vagy</w:t>
      </w:r>
      <w:r w:rsidR="001F3439" w:rsidRPr="001F3439">
        <w:t xml:space="preserve"> CO</w:t>
      </w:r>
      <w:r w:rsidR="001F3439" w:rsidRPr="001F3439">
        <w:rPr>
          <w:vertAlign w:val="subscript"/>
        </w:rPr>
        <w:t>2</w:t>
      </w:r>
      <w:r w:rsidR="001F3439" w:rsidRPr="001F3439">
        <w:t xml:space="preserve"> </w:t>
      </w:r>
      <w:r w:rsidR="001F3439">
        <w:t xml:space="preserve">forrás segítségével történő </w:t>
      </w:r>
      <w:proofErr w:type="spellStart"/>
      <w:r w:rsidR="001F3439">
        <w:t>metanizáció</w:t>
      </w:r>
      <w:r w:rsidR="002F3892">
        <w:t>ja</w:t>
      </w:r>
      <w:proofErr w:type="spellEnd"/>
      <w:r w:rsidR="001F3439">
        <w:t xml:space="preserve"> révén </w:t>
      </w:r>
      <w:r w:rsidR="00EC5D8D">
        <w:t>játszódik le</w:t>
      </w:r>
      <w:r w:rsidR="002F3892">
        <w:t xml:space="preserve"> (lásd </w:t>
      </w:r>
      <w:r w:rsidR="0057513E">
        <w:fldChar w:fldCharType="begin"/>
      </w:r>
      <w:r w:rsidR="0057513E">
        <w:instrText xml:space="preserve"> REF _Ref91311875 \h </w:instrText>
      </w:r>
      <w:r w:rsidR="0057513E">
        <w:fldChar w:fldCharType="separate"/>
      </w:r>
      <w:r w:rsidR="0057513E">
        <w:rPr>
          <w:noProof/>
        </w:rPr>
        <w:t>1</w:t>
      </w:r>
      <w:r w:rsidR="0057513E">
        <w:t>. ábra</w:t>
      </w:r>
      <w:r w:rsidR="0057513E">
        <w:fldChar w:fldCharType="end"/>
      </w:r>
      <w:r w:rsidR="002F3892">
        <w:t>)</w:t>
      </w:r>
      <w:r w:rsidR="00EC5D8D">
        <w:t>.</w:t>
      </w:r>
      <w:r w:rsidR="00C800D4">
        <w:t xml:space="preserve"> Az így létrejött helyettesítő földgáz (</w:t>
      </w:r>
      <w:proofErr w:type="spellStart"/>
      <w:r w:rsidR="00C800D4">
        <w:t>Substitute</w:t>
      </w:r>
      <w:proofErr w:type="spellEnd"/>
      <w:r w:rsidR="00C800D4">
        <w:t xml:space="preserve"> </w:t>
      </w:r>
      <w:proofErr w:type="spellStart"/>
      <w:r w:rsidR="00C800D4">
        <w:t>Natural</w:t>
      </w:r>
      <w:proofErr w:type="spellEnd"/>
      <w:r w:rsidR="00C800D4">
        <w:t xml:space="preserve"> </w:t>
      </w:r>
      <w:proofErr w:type="spellStart"/>
      <w:r w:rsidR="00C800D4">
        <w:t>Gas</w:t>
      </w:r>
      <w:proofErr w:type="spellEnd"/>
      <w:r w:rsidR="00C800D4">
        <w:t xml:space="preserve">, </w:t>
      </w:r>
      <w:r w:rsidR="00C800D4" w:rsidRPr="00C800D4">
        <w:t>SNG</w:t>
      </w:r>
      <w:r w:rsidR="00C800D4">
        <w:t>)</w:t>
      </w:r>
      <w:r w:rsidR="00C800D4" w:rsidRPr="00C800D4">
        <w:t xml:space="preserve"> </w:t>
      </w:r>
      <w:r w:rsidR="00C800D4">
        <w:t xml:space="preserve">már alkalmas </w:t>
      </w:r>
      <w:r w:rsidR="00C97F8D">
        <w:t xml:space="preserve">a </w:t>
      </w:r>
      <w:r w:rsidR="00BD4F6B">
        <w:t>hálózatba való betáplálásra.</w:t>
      </w:r>
      <w:r w:rsidR="00E723A8">
        <w:t xml:space="preserve"> </w:t>
      </w:r>
      <w:r w:rsidR="00253B41">
        <w:t>A</w:t>
      </w:r>
      <w:r w:rsidR="00E723A8">
        <w:t xml:space="preserve"> termékgáz fűtőértéke </w:t>
      </w:r>
      <w:r w:rsidR="00253B41">
        <w:t xml:space="preserve">azonban </w:t>
      </w:r>
      <w:r w:rsidR="00E723A8">
        <w:t xml:space="preserve">alacsonyabb lehet, mint a </w:t>
      </w:r>
      <w:r w:rsidR="00253B41">
        <w:t xml:space="preserve">hagyományos </w:t>
      </w:r>
      <w:r w:rsidR="00E723A8">
        <w:t xml:space="preserve">földgázé, mivel a helyettesítő földgázban </w:t>
      </w:r>
      <w:r w:rsidR="00DC46B5">
        <w:t xml:space="preserve">nem találhatók </w:t>
      </w:r>
      <w:r w:rsidR="00E723A8">
        <w:t>hossz</w:t>
      </w:r>
      <w:r w:rsidR="00DC46B5">
        <w:t>ú</w:t>
      </w:r>
      <w:r w:rsidR="00E723A8">
        <w:t xml:space="preserve"> szénláncú szénhidrogének</w:t>
      </w:r>
      <w:r w:rsidR="00DC46B5">
        <w:t xml:space="preserve">. </w:t>
      </w:r>
      <w:r w:rsidR="00BD4F6B">
        <w:t>(</w:t>
      </w:r>
      <w:proofErr w:type="gramStart"/>
      <w:r w:rsidR="00BD4F6B">
        <w:t>Hagyományos földgáz</w:t>
      </w:r>
      <w:r w:rsidR="00D93601">
        <w:t>ban a 80% feletti</w:t>
      </w:r>
      <w:r w:rsidR="00BD4F6B">
        <w:t xml:space="preserve"> metántartal</w:t>
      </w:r>
      <w:r w:rsidR="00D93601">
        <w:t xml:space="preserve">om mellett </w:t>
      </w:r>
      <w:r w:rsidR="00253B41">
        <w:t>megtalálható még a fűtőértéket növelő</w:t>
      </w:r>
      <w:r w:rsidR="00D93601">
        <w:t xml:space="preserve"> </w:t>
      </w:r>
      <w:r w:rsidR="00E723A8">
        <w:t>etán, propán</w:t>
      </w:r>
      <w:r w:rsidR="00D93601">
        <w:t xml:space="preserve"> és</w:t>
      </w:r>
      <w:r w:rsidR="00E723A8">
        <w:t xml:space="preserve"> bután</w:t>
      </w:r>
      <w:r w:rsidR="00D93601">
        <w:t xml:space="preserve">, </w:t>
      </w:r>
      <w:r w:rsidR="00253B41">
        <w:t xml:space="preserve">kisebb mennyiségben pedig az azt csökkentő inertek, </w:t>
      </w:r>
      <w:r w:rsidR="00F253D2">
        <w:t>N</w:t>
      </w:r>
      <w:r w:rsidR="00F253D2" w:rsidRPr="00253B41">
        <w:rPr>
          <w:vertAlign w:val="subscript"/>
        </w:rPr>
        <w:t>2</w:t>
      </w:r>
      <w:r w:rsidR="00F253D2">
        <w:t xml:space="preserve"> és CO</w:t>
      </w:r>
      <w:r w:rsidR="00F253D2" w:rsidRPr="00253B41">
        <w:rPr>
          <w:vertAlign w:val="subscript"/>
        </w:rPr>
        <w:t>2</w:t>
      </w:r>
      <w:proofErr w:type="gramEnd"/>
      <w:r w:rsidR="00F253D2">
        <w:t xml:space="preserve"> </w:t>
      </w:r>
      <w:r w:rsidR="0068729C">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68729C">
        <w:fldChar w:fldCharType="separate"/>
      </w:r>
      <w:r w:rsidR="009974CC" w:rsidRPr="009974CC">
        <w:rPr>
          <w:noProof/>
        </w:rPr>
        <w:t>[11]</w:t>
      </w:r>
      <w:r w:rsidR="0068729C">
        <w:fldChar w:fldCharType="end"/>
      </w:r>
      <w:r w:rsidR="00E723A8">
        <w:t>)</w:t>
      </w:r>
      <w:r w:rsidR="00C97F8D">
        <w:t>.</w:t>
      </w:r>
    </w:p>
    <w:p w:rsidR="002F3892" w:rsidRDefault="00E5217D" w:rsidP="002F3892">
      <w:pPr>
        <w:keepNext/>
        <w:jc w:val="center"/>
      </w:pPr>
      <w:r>
        <w:rPr>
          <w:noProof/>
          <w:lang w:val="en-US"/>
        </w:rPr>
        <w:lastRenderedPageBreak/>
        <w:drawing>
          <wp:inline distT="0" distB="0" distL="0" distR="0" wp14:anchorId="7072E40D" wp14:editId="02A3C714">
            <wp:extent cx="5359400" cy="21552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2M magyar folyamáb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1269" cy="2159985"/>
                    </a:xfrm>
                    <a:prstGeom prst="rect">
                      <a:avLst/>
                    </a:prstGeom>
                  </pic:spPr>
                </pic:pic>
              </a:graphicData>
            </a:graphic>
          </wp:inline>
        </w:drawing>
      </w:r>
    </w:p>
    <w:bookmarkStart w:id="0" w:name="_Ref91311875"/>
    <w:p w:rsidR="00DA6BCD" w:rsidRPr="0057513E" w:rsidRDefault="002F3892" w:rsidP="002F3892">
      <w:pPr>
        <w:pStyle w:val="Caption"/>
        <w:jc w:val="center"/>
        <w:rPr>
          <w:i w:val="0"/>
        </w:rPr>
      </w:pPr>
      <w:r>
        <w:fldChar w:fldCharType="begin"/>
      </w:r>
      <w:r>
        <w:instrText xml:space="preserve"> SEQ ábra \* ARABIC </w:instrText>
      </w:r>
      <w:r>
        <w:fldChar w:fldCharType="separate"/>
      </w:r>
      <w:proofErr w:type="gramStart"/>
      <w:r w:rsidR="001574C9">
        <w:rPr>
          <w:noProof/>
        </w:rPr>
        <w:t>1</w:t>
      </w:r>
      <w:r>
        <w:fldChar w:fldCharType="end"/>
      </w:r>
      <w:r>
        <w:t>. ábra</w:t>
      </w:r>
      <w:bookmarkEnd w:id="0"/>
      <w:r>
        <w:t xml:space="preserve"> </w:t>
      </w:r>
      <w:r w:rsidR="0057513E" w:rsidRPr="0057513E">
        <w:rPr>
          <w:i w:val="0"/>
        </w:rPr>
        <w:t xml:space="preserve">A </w:t>
      </w:r>
      <w:proofErr w:type="spellStart"/>
      <w:r w:rsidRPr="0057513E">
        <w:rPr>
          <w:i w:val="0"/>
        </w:rPr>
        <w:t>Power-to-Gas</w:t>
      </w:r>
      <w:proofErr w:type="spellEnd"/>
      <w:r w:rsidRPr="0057513E">
        <w:rPr>
          <w:i w:val="0"/>
        </w:rPr>
        <w:t xml:space="preserve"> </w:t>
      </w:r>
      <w:r w:rsidR="0057513E" w:rsidRPr="0057513E">
        <w:rPr>
          <w:i w:val="0"/>
        </w:rPr>
        <w:t xml:space="preserve">technológia </w:t>
      </w:r>
      <w:r w:rsidRPr="0057513E">
        <w:rPr>
          <w:i w:val="0"/>
        </w:rPr>
        <w:t>folyamat</w:t>
      </w:r>
      <w:r w:rsidR="0057513E" w:rsidRPr="0057513E">
        <w:rPr>
          <w:i w:val="0"/>
        </w:rPr>
        <w:t>a</w:t>
      </w:r>
      <w:proofErr w:type="gramEnd"/>
      <w:r w:rsidR="0057513E">
        <w:rPr>
          <w:i w:val="0"/>
        </w:rPr>
        <w:t xml:space="preserve"> </w:t>
      </w:r>
      <w:r w:rsidR="0057513E">
        <w:rPr>
          <w:i w:val="0"/>
        </w:rPr>
        <w:fldChar w:fldCharType="begin" w:fldLock="1"/>
      </w:r>
      <w:r w:rsidR="009974CC">
        <w:rPr>
          <w:i w:val="0"/>
        </w:rPr>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57513E">
        <w:rPr>
          <w:i w:val="0"/>
        </w:rPr>
        <w:fldChar w:fldCharType="separate"/>
      </w:r>
      <w:r w:rsidR="009974CC" w:rsidRPr="009974CC">
        <w:rPr>
          <w:i w:val="0"/>
          <w:noProof/>
        </w:rPr>
        <w:t>[11]</w:t>
      </w:r>
      <w:r w:rsidR="0057513E">
        <w:rPr>
          <w:i w:val="0"/>
        </w:rPr>
        <w:fldChar w:fldCharType="end"/>
      </w:r>
    </w:p>
    <w:p w:rsidR="0046351C" w:rsidRDefault="0046351C" w:rsidP="00397BB6">
      <w:pPr>
        <w:jc w:val="both"/>
        <w:rPr>
          <w:b/>
        </w:rPr>
      </w:pPr>
    </w:p>
    <w:p w:rsidR="00AB1D18" w:rsidRPr="00A353B0" w:rsidRDefault="00B02BEB" w:rsidP="004677BC">
      <w:pPr>
        <w:pStyle w:val="Heading2"/>
      </w:pPr>
      <w:r>
        <w:t>Vízbontás e</w:t>
      </w:r>
      <w:r w:rsidR="000C796E" w:rsidRPr="00A353B0">
        <w:t>lektrolízis</w:t>
      </w:r>
      <w:r>
        <w:t>sel</w:t>
      </w:r>
    </w:p>
    <w:p w:rsidR="00B47EF9" w:rsidRDefault="00B47EF9" w:rsidP="00B47EF9">
      <w:pPr>
        <w:jc w:val="both"/>
      </w:pPr>
      <w:r>
        <w:t xml:space="preserve">Az elektrolízis egy olyan elektrokémiai folyamat, amely során </w:t>
      </w:r>
      <w:r w:rsidR="00820711">
        <w:t xml:space="preserve">az </w:t>
      </w:r>
      <w:r>
        <w:t xml:space="preserve">elektromos energia (egyenáram) kémiai energiává alakul. A </w:t>
      </w:r>
      <w:proofErr w:type="spellStart"/>
      <w:r>
        <w:t>redoxireakciók</w:t>
      </w:r>
      <w:proofErr w:type="spellEnd"/>
      <w:r>
        <w:t xml:space="preserve"> </w:t>
      </w:r>
      <w:r w:rsidR="005E3B20">
        <w:t>az</w:t>
      </w:r>
      <w:r w:rsidR="004C11F5">
        <w:t xml:space="preserve"> </w:t>
      </w:r>
      <w:proofErr w:type="spellStart"/>
      <w:r w:rsidR="004C11F5">
        <w:t>elektrolizáló</w:t>
      </w:r>
      <w:proofErr w:type="spellEnd"/>
      <w:r w:rsidR="004C11F5">
        <w:t xml:space="preserve"> cell</w:t>
      </w:r>
      <w:r w:rsidR="00DE6BAE">
        <w:t>ában mennek végbe, amely</w:t>
      </w:r>
      <w:r w:rsidR="001E5561">
        <w:t xml:space="preserve"> során </w:t>
      </w:r>
      <w:r w:rsidR="00E226B4">
        <w:t xml:space="preserve">az </w:t>
      </w:r>
      <w:r w:rsidR="004C11F5">
        <w:t>elektrolit oldatb</w:t>
      </w:r>
      <w:r w:rsidR="00E226B4">
        <w:t>a</w:t>
      </w:r>
      <w:r w:rsidR="004C11F5">
        <w:t xml:space="preserve"> </w:t>
      </w:r>
      <w:r w:rsidR="00E226B4">
        <w:t xml:space="preserve">lógatott </w:t>
      </w:r>
      <w:r w:rsidR="004C11F5">
        <w:t>két elektród</w:t>
      </w:r>
      <w:r w:rsidR="00E226B4">
        <w:t xml:space="preserve">a közül a kationok a negatív töltésű katód </w:t>
      </w:r>
      <w:r w:rsidR="00D91A23">
        <w:t xml:space="preserve">felületén </w:t>
      </w:r>
      <w:r w:rsidR="00E226B4">
        <w:t>redukálódnak, míg az anionok a pozitív töltésű anód fel</w:t>
      </w:r>
      <w:r w:rsidR="00D91A23">
        <w:t>ületén</w:t>
      </w:r>
      <w:r w:rsidR="00E226B4">
        <w:t xml:space="preserve"> oxidálódnak.</w:t>
      </w:r>
      <w:r w:rsidR="0096390C">
        <w:t xml:space="preserve"> A </w:t>
      </w:r>
      <w:proofErr w:type="spellStart"/>
      <w:r w:rsidR="0096390C">
        <w:t>PtM</w:t>
      </w:r>
      <w:proofErr w:type="spellEnd"/>
      <w:r w:rsidR="0096390C">
        <w:t xml:space="preserve"> technológiához szükséges H</w:t>
      </w:r>
      <w:r w:rsidR="0096390C" w:rsidRPr="00B02BEB">
        <w:rPr>
          <w:vertAlign w:val="subscript"/>
        </w:rPr>
        <w:t>2</w:t>
      </w:r>
      <w:r w:rsidR="0096390C">
        <w:t xml:space="preserve"> előállítására a H</w:t>
      </w:r>
      <w:r w:rsidR="0096390C" w:rsidRPr="00B02BEB">
        <w:rPr>
          <w:vertAlign w:val="subscript"/>
        </w:rPr>
        <w:t>2</w:t>
      </w:r>
      <w:r w:rsidR="0096390C">
        <w:t>O disszociációja révén kerül sor, az endoterm reakció pedig az alábbi:</w:t>
      </w:r>
    </w:p>
    <w:p w:rsidR="0096390C" w:rsidRDefault="006B407F" w:rsidP="00B47EF9">
      <w:pPr>
        <w:jc w:val="both"/>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(l)</m:t>
              </m:r>
            </m:sub>
          </m:sSub>
          <m:r>
            <w:rPr>
              <w:rFonts w:ascii="Cambria Math" w:hAnsi="Cambria Math"/>
            </w:rPr>
            <m:t>+energy↔</m:t>
          </m:r>
          <m:sSub>
            <m:sSubPr>
              <m:ctrlPr>
                <w:rPr>
                  <w:rFonts w:ascii="Cambria Math" w:hAnsi="Cambria Math"/>
                  <w:i/>
                </w:rPr>
              </m:ctrlPr>
            </m:sSubPr>
            <m:e>
              <m:r>
                <w:rPr>
                  <w:rFonts w:ascii="Cambria Math" w:hAnsi="Cambria Math"/>
                </w:rPr>
                <m:t>H</m:t>
              </m:r>
            </m:e>
            <m:sub>
              <m:r>
                <w:rPr>
                  <w:rFonts w:ascii="Cambria Math" w:hAnsi="Cambria Math"/>
                </w:rPr>
                <m:t>2(g)</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O</m:t>
              </m:r>
            </m:e>
            <m:sub>
              <m:r>
                <w:rPr>
                  <w:rFonts w:ascii="Cambria Math" w:hAnsi="Cambria Math"/>
                </w:rPr>
                <m:t>2</m:t>
              </m:r>
            </m:sub>
          </m:sSub>
        </m:oMath>
      </m:oMathPara>
    </w:p>
    <w:p w:rsidR="000931BF" w:rsidRDefault="000931BF" w:rsidP="00BF25CA">
      <w:pPr>
        <w:jc w:val="both"/>
      </w:pPr>
      <w:proofErr w:type="gramStart"/>
      <w:r>
        <w:t>A reakció energia</w:t>
      </w:r>
      <w:r w:rsidR="00D60498">
        <w:t>igényét az alkalmazott technológia határozza meg, és függ</w:t>
      </w:r>
      <w:r>
        <w:t xml:space="preserve"> a hőmérséklet</w:t>
      </w:r>
      <w:r w:rsidR="00D60498">
        <w:t>től</w:t>
      </w:r>
      <w:r>
        <w:t xml:space="preserve"> </w:t>
      </w:r>
      <w:r w:rsidR="00770781">
        <w:t>valamint</w:t>
      </w:r>
      <w:r>
        <w:t xml:space="preserve"> nyomás</w:t>
      </w:r>
      <w:r w:rsidR="00D60498">
        <w:t>tól, amin a reakció végbemegy</w:t>
      </w:r>
      <w:proofErr w:type="gramEnd"/>
      <w:r w:rsidR="00762E9F">
        <w:t xml:space="preserve"> </w:t>
      </w:r>
      <w:r w:rsidR="00762E9F">
        <w:fldChar w:fldCharType="begin" w:fldLock="1"/>
      </w:r>
      <w:r w:rsidR="009974CC">
        <w:instrText>ADDIN CSL_CITATION {"citationItems":[{"id":"ITEM-1","itemData":{"DOI":"10.1109/JPROC.2011.2156750","ISSN":"00189219","abstract":"This paper reviews water electrolysis technologies for hydrogen production and also surveys the state of the art of water electrolysis integration with renewable energies. First, attention is paid to the thermodynamic and electrochemical processes to better understand how electrolysis cells work and how they can be combined to build big electrolysis modules. The electrolysis process and the characteristics, advantages, drawbacks, and challenges of the three main existing electrolysis technologies, namely alkaline, polymer electrolyte membrane, and solid oxide electrolyte, are then discussed. Current manufacturers and the main features of commercially available electrolyzers are extensively reviewed. Finally, the possible configurations allowing the integration of water electrolysis units with renewable energy sources in both autonomous and grid-connected systems are presented and some relevant demonstration projects are commented. © 2006 IEEE.","author":[{"dropping-particle":"","family":"Ursúa","given":"Alfredo","non-dropping-particle":"","parse-names":false,"suffix":""},{"dropping-particle":"","family":"Gandía","given":"Luis M.","non-dropping-particle":"","parse-names":false,"suffix":""},{"dropping-particle":"","family":"Sanchis","given":"Pablo","non-dropping-particle":"","parse-names":false,"suffix":""}],"container-title":"Proceedings of the IEEE","id":"ITEM-1","issue":"2","issued":{"date-parts":[["2012"]]},"page":"410-426","title":"Hydrogen production from water electrolysis: Current status and future trends","type":"article-journal","volume":"100"},"uris":["http://www.mendeley.com/documents/?uuid=f3a09c44-1673-4685-b8b1-2ddbb43c3d31"]}],"mendeley":{"formattedCitation":"[12]","plainTextFormattedCitation":"[12]","previouslyFormattedCitation":"[11]"},"properties":{"noteIndex":0},"schema":"https://github.com/citation-style-language/schema/raw/master/csl-citation.json"}</w:instrText>
      </w:r>
      <w:r w:rsidR="00762E9F">
        <w:fldChar w:fldCharType="separate"/>
      </w:r>
      <w:r w:rsidR="009974CC" w:rsidRPr="009974CC">
        <w:rPr>
          <w:noProof/>
        </w:rPr>
        <w:t>[12]</w:t>
      </w:r>
      <w:r w:rsidR="00762E9F">
        <w:fldChar w:fldCharType="end"/>
      </w:r>
      <w:r>
        <w:t>.</w:t>
      </w:r>
      <w:r w:rsidR="00D60498">
        <w:t xml:space="preserve"> </w:t>
      </w:r>
      <w:r w:rsidR="00545245">
        <w:t xml:space="preserve">A </w:t>
      </w:r>
      <w:r w:rsidR="00C9566D" w:rsidRPr="00C9566D">
        <w:t>Faraday-törvény</w:t>
      </w:r>
      <w:r w:rsidR="00D60498">
        <w:t xml:space="preserve"> </w:t>
      </w:r>
      <w:r w:rsidR="00B47EF9">
        <w:t>értelmében</w:t>
      </w:r>
      <w:r w:rsidR="00C9566D">
        <w:t xml:space="preserve"> az </w:t>
      </w:r>
      <w:r w:rsidR="00D60498">
        <w:t>elektrolízis során termelt H</w:t>
      </w:r>
      <w:r w:rsidR="00D60498" w:rsidRPr="00D60498">
        <w:rPr>
          <w:vertAlign w:val="subscript"/>
        </w:rPr>
        <w:t>2</w:t>
      </w:r>
      <w:r w:rsidR="00D60498">
        <w:t xml:space="preserve"> arányos az elektromos áram</w:t>
      </w:r>
      <w:r w:rsidR="00046D32">
        <w:t xml:space="preserve"> nagyságával</w:t>
      </w:r>
      <w:r w:rsidR="00D60498">
        <w:t xml:space="preserve">, </w:t>
      </w:r>
      <w:r w:rsidR="005765D6">
        <w:t xml:space="preserve">így </w:t>
      </w:r>
      <w:r w:rsidR="00046D32">
        <w:t>az alkalmazott technológiák célja, hogy egy adott</w:t>
      </w:r>
      <w:r w:rsidR="00D60498">
        <w:t xml:space="preserve"> </w:t>
      </w:r>
      <w:r w:rsidR="00046D32">
        <w:t xml:space="preserve">felületű </w:t>
      </w:r>
      <w:proofErr w:type="spellStart"/>
      <w:r w:rsidR="00D60498">
        <w:t>elektrolizáló</w:t>
      </w:r>
      <w:proofErr w:type="spellEnd"/>
      <w:r w:rsidR="00D60498">
        <w:t xml:space="preserve"> cell</w:t>
      </w:r>
      <w:r w:rsidR="00046D32">
        <w:t xml:space="preserve">án minél magasabb </w:t>
      </w:r>
      <w:r w:rsidR="00D60498">
        <w:t>áramsűrűség</w:t>
      </w:r>
      <w:r w:rsidR="00046D32">
        <w:t>et érjenek el.</w:t>
      </w:r>
      <w:r w:rsidR="00C9566D">
        <w:t xml:space="preserve"> </w:t>
      </w:r>
      <w:proofErr w:type="gramStart"/>
      <w:r w:rsidR="00C9566D">
        <w:t>Az elektrolízis hatásfokát a termelt H</w:t>
      </w:r>
      <w:r w:rsidR="00C9566D" w:rsidRPr="00C9566D">
        <w:rPr>
          <w:vertAlign w:val="subscript"/>
        </w:rPr>
        <w:t>2</w:t>
      </w:r>
      <w:r w:rsidR="00C9566D">
        <w:t xml:space="preserve"> fűtőértékének – amit a felhasználástól függően számolhatunk HHV</w:t>
      </w:r>
      <w:r w:rsidR="00C9566D" w:rsidRPr="00C9566D">
        <w:rPr>
          <w:vertAlign w:val="subscript"/>
        </w:rPr>
        <w:t>H2</w:t>
      </w:r>
      <w:r w:rsidR="00C9566D">
        <w:t>=3.54 kWh/Nm</w:t>
      </w:r>
      <w:r w:rsidR="00C9566D" w:rsidRPr="00C9566D">
        <w:rPr>
          <w:vertAlign w:val="superscript"/>
        </w:rPr>
        <w:t>3</w:t>
      </w:r>
      <w:r w:rsidR="00C9566D">
        <w:t xml:space="preserve"> vagy LHV</w:t>
      </w:r>
      <w:r w:rsidR="00C9566D" w:rsidRPr="00C9566D">
        <w:rPr>
          <w:vertAlign w:val="subscript"/>
        </w:rPr>
        <w:t>H2</w:t>
      </w:r>
      <w:r w:rsidR="00C9566D">
        <w:t>=3 kWh/Nm</w:t>
      </w:r>
      <w:r w:rsidR="00C9566D" w:rsidRPr="00C9566D">
        <w:rPr>
          <w:vertAlign w:val="superscript"/>
        </w:rPr>
        <w:t>3</w:t>
      </w:r>
      <w:r w:rsidR="00C9566D">
        <w:t xml:space="preserve"> értéken – valamint az elektr</w:t>
      </w:r>
      <w:r w:rsidR="00FC4BF6">
        <w:t>o</w:t>
      </w:r>
      <w:r w:rsidR="00C9566D">
        <w:t>lízis során felhasznált villamos energi</w:t>
      </w:r>
      <w:r w:rsidR="00B47EF9">
        <w:t>ának a</w:t>
      </w:r>
      <w:r w:rsidR="00C9566D">
        <w:t xml:space="preserve"> hányadosa</w:t>
      </w:r>
      <w:proofErr w:type="gramEnd"/>
      <w:r w:rsidR="00B47EF9">
        <w:t xml:space="preserve"> </w:t>
      </w:r>
      <w:r w:rsidR="00762E9F">
        <w:fldChar w:fldCharType="begin" w:fldLock="1"/>
      </w:r>
      <w:r w:rsidR="009974CC">
        <w:instrText>ADDIN CSL_CITATION {"citationItems":[{"id":"ITEM-1","itemData":{"DOI":"10.1002/9783527673872.ch22","ISBN":"9783527673872","abstract":"The electrochemical production of hydrogen by water electrolysis is a well-established technological process worldwide dating back more than 100 years. Since the cost of producing hydrogen by this method is currently higher than that of producing it from fossil energy carriers such as natural gas and coal, at present only about 4% of hydrogen requirements are covered by electrolysis. However, hydrogen is envisaged as a more or less important storage medium or energy carrier for transportation purposes in future energy systems where renewable energy sources are to play a major role in the energy mix. This chapter describes the basic physical and technical principles and the state-of-the-art of the different electrolysis processes such as alkaline electrolysis, polymer electrolyte membrane (PEM) electrolysis and high-temperature electrolysis. In addition, the challenges and the need for research and development for alkaline and PEM electrolysis are identified so that water electrolysis can be realistically and sustainably applied in the mass markets after 2020 for hydrogen production using surplus electricity generated from renewable sources.","author":[{"dropping-particle":"","family":"Mergel","given":"Jürgen","non-dropping-particle":"","parse-names":false,"suffix":""},{"dropping-particle":"","family":"Carmo","given":"Marcelo","non-dropping-particle":"","parse-names":false,"suffix":""},{"dropping-particle":"","family":"Fritz","given":"David","non-dropping-particle":"","parse-names":false,"suffix":""}],"container-title":"Transition to Renewable Energy Systems","id":"ITEM-1","issued":{"date-parts":[["2013"]]},"page":"425-450","title":"Status on Technologies for Hydrogen Production by Water Electrolysis","type":"article-journal"},"uris":["http://www.mendeley.com/documents/?uuid=33c9e4af-cc53-447c-97b6-a0f80d2e97db"]}],"mendeley":{"formattedCitation":"[13]","plainTextFormattedCitation":"[13]","previouslyFormattedCitation":"[12]"},"properties":{"noteIndex":0},"schema":"https://github.com/citation-style-language/schema/raw/master/csl-citation.json"}</w:instrText>
      </w:r>
      <w:r w:rsidR="00762E9F">
        <w:fldChar w:fldCharType="separate"/>
      </w:r>
      <w:r w:rsidR="009974CC" w:rsidRPr="009974CC">
        <w:rPr>
          <w:noProof/>
        </w:rPr>
        <w:t>[13]</w:t>
      </w:r>
      <w:r w:rsidR="00762E9F">
        <w:fldChar w:fldCharType="end"/>
      </w:r>
      <w:r w:rsidR="00770781">
        <w:t xml:space="preserve"> adja</w:t>
      </w:r>
      <w:r w:rsidR="00C9566D">
        <w:t>.</w:t>
      </w:r>
      <w:r w:rsidR="00B47EF9">
        <w:t xml:space="preserve"> A vízbontásra használt három legjelentősebb eljárás a</w:t>
      </w:r>
      <w:r w:rsidR="00BF25CA">
        <w:t xml:space="preserve">z alkálikus, vagy lúgos elektrolízis, </w:t>
      </w:r>
      <w:r w:rsidR="00545245">
        <w:t xml:space="preserve">a </w:t>
      </w:r>
      <w:r w:rsidR="00BF25CA">
        <w:t>protoncserélő-membrános (PEM) elektrolízis, valamint a magas hőmérsékletű (HTE), vagy szilárd-oxidos elektrolízis (SOE</w:t>
      </w:r>
      <w:r w:rsidR="00545245">
        <w:t>C</w:t>
      </w:r>
      <w:r w:rsidR="00BF25CA">
        <w:t>).</w:t>
      </w:r>
    </w:p>
    <w:p w:rsidR="000931BF" w:rsidRPr="00A353B0" w:rsidRDefault="00D172A8" w:rsidP="004677BC">
      <w:pPr>
        <w:pStyle w:val="Heading3"/>
      </w:pPr>
      <w:r w:rsidRPr="00A353B0">
        <w:t>Alkálikus, vagy lúgos elektrolízis</w:t>
      </w:r>
      <w:r w:rsidR="004A69F6">
        <w:t xml:space="preserve"> (AEL)</w:t>
      </w:r>
    </w:p>
    <w:p w:rsidR="00833D62" w:rsidRDefault="00D172A8" w:rsidP="00734696">
      <w:pPr>
        <w:jc w:val="both"/>
      </w:pPr>
      <w:r>
        <w:t xml:space="preserve">A lúgos elektrolízis tekinthető a legkiforrottabb technológiának, amelyet már </w:t>
      </w:r>
      <w:proofErr w:type="spellStart"/>
      <w:r>
        <w:t>MW</w:t>
      </w:r>
      <w:r w:rsidRPr="00D172A8">
        <w:rPr>
          <w:vertAlign w:val="subscript"/>
        </w:rPr>
        <w:t>e</w:t>
      </w:r>
      <w:proofErr w:type="spellEnd"/>
      <w:r>
        <w:t xml:space="preserve"> méretben is alkalmaznak nagyüzemi H</w:t>
      </w:r>
      <w:r w:rsidRPr="00D172A8">
        <w:rPr>
          <w:vertAlign w:val="subscript"/>
        </w:rPr>
        <w:t>2</w:t>
      </w:r>
      <w:r>
        <w:t xml:space="preserve"> termelésre.</w:t>
      </w:r>
      <w:r w:rsidR="00EC40F1">
        <w:t xml:space="preserve"> </w:t>
      </w:r>
      <w:r w:rsidR="00734696">
        <w:t xml:space="preserve">A </w:t>
      </w:r>
      <w:r w:rsidR="00734696" w:rsidRPr="00EC40F1">
        <w:t>két elektród</w:t>
      </w:r>
      <w:r w:rsidR="00734696">
        <w:t>át</w:t>
      </w:r>
      <w:r w:rsidR="00734696" w:rsidRPr="00EC40F1">
        <w:t xml:space="preserve"> </w:t>
      </w:r>
      <w:r w:rsidR="00734696">
        <w:t>membrán</w:t>
      </w:r>
      <w:r w:rsidR="001B08C8">
        <w:t xml:space="preserve"> (diafragma)</w:t>
      </w:r>
      <w:r w:rsidR="00734696">
        <w:t xml:space="preserve"> választ</w:t>
      </w:r>
      <w:r w:rsidR="00833D62">
        <w:t>ja</w:t>
      </w:r>
      <w:r w:rsidR="00734696">
        <w:t xml:space="preserve"> el egymástól,</w:t>
      </w:r>
      <w:r w:rsidR="00734696" w:rsidRPr="00EC40F1">
        <w:t xml:space="preserve"> </w:t>
      </w:r>
      <w:r w:rsidR="00EC40F1" w:rsidRPr="00EC40F1">
        <w:t xml:space="preserve">az elektrolit </w:t>
      </w:r>
      <w:r w:rsidR="00833D62">
        <w:t xml:space="preserve">pedig </w:t>
      </w:r>
      <w:r>
        <w:t xml:space="preserve">általában </w:t>
      </w:r>
      <w:r w:rsidR="00734696">
        <w:t xml:space="preserve">egy erősen </w:t>
      </w:r>
      <w:proofErr w:type="spellStart"/>
      <w:r w:rsidR="00734696">
        <w:t>korrózív</w:t>
      </w:r>
      <w:proofErr w:type="spellEnd"/>
      <w:r w:rsidR="00833D62">
        <w:t>,</w:t>
      </w:r>
      <w:r w:rsidR="00734696">
        <w:t xml:space="preserve"> </w:t>
      </w:r>
      <w:r>
        <w:t>25-30%-</w:t>
      </w:r>
      <w:proofErr w:type="spellStart"/>
      <w:r>
        <w:t>os</w:t>
      </w:r>
      <w:proofErr w:type="spellEnd"/>
      <w:r>
        <w:t xml:space="preserve"> vizes KOH-oldat. </w:t>
      </w:r>
      <w:r w:rsidR="00734696">
        <w:t>Az elektródák felszínén kiváló termékgázok</w:t>
      </w:r>
      <w:r w:rsidR="00833D62">
        <w:t xml:space="preserve"> és hő</w:t>
      </w:r>
      <w:r w:rsidR="00734696">
        <w:t xml:space="preserve"> eltávolítás</w:t>
      </w:r>
      <w:r w:rsidR="00833D62">
        <w:t xml:space="preserve">a érdekében az elektrolitot vagy szivattyúval, vagy a magas hőmérsékletgradiens miatt kialakuló természetes áramlással </w:t>
      </w:r>
      <w:proofErr w:type="gramStart"/>
      <w:r w:rsidR="00833D62">
        <w:t>cirkuláltatják</w:t>
      </w:r>
      <w:proofErr w:type="gramEnd"/>
      <w:r w:rsidR="00833D62">
        <w:t>. A</w:t>
      </w:r>
      <w:r w:rsidR="008264C4">
        <w:t>z egyes</w:t>
      </w:r>
      <w:r w:rsidR="00833D62">
        <w:t xml:space="preserve"> termékgázok</w:t>
      </w:r>
      <w:r w:rsidR="008264C4">
        <w:t>ban</w:t>
      </w:r>
      <w:r w:rsidR="00833D62">
        <w:t xml:space="preserve"> (H</w:t>
      </w:r>
      <w:r w:rsidR="00833D62" w:rsidRPr="00833D62">
        <w:rPr>
          <w:vertAlign w:val="subscript"/>
        </w:rPr>
        <w:t>2</w:t>
      </w:r>
      <w:r w:rsidR="00833D62">
        <w:t xml:space="preserve"> és O</w:t>
      </w:r>
      <w:r w:rsidR="00833D62" w:rsidRPr="00833D62">
        <w:rPr>
          <w:vertAlign w:val="subscript"/>
        </w:rPr>
        <w:t>2</w:t>
      </w:r>
      <w:r w:rsidR="00833D62">
        <w:t xml:space="preserve">) </w:t>
      </w:r>
      <w:r w:rsidR="008264C4">
        <w:t xml:space="preserve">dús elektrolitot külön szeparátorban </w:t>
      </w:r>
      <w:r w:rsidR="00833D62">
        <w:t>tárol</w:t>
      </w:r>
      <w:r w:rsidR="008264C4">
        <w:t>ják, ami egyben a folyadék gáz szétválasztást is végzi. A H</w:t>
      </w:r>
      <w:r w:rsidR="008264C4" w:rsidRPr="008264C4">
        <w:rPr>
          <w:vertAlign w:val="subscript"/>
        </w:rPr>
        <w:t>2</w:t>
      </w:r>
      <w:r w:rsidR="008264C4">
        <w:t xml:space="preserve"> termékgáz minősége a szárítást követően 99.5-99.9% között, míg az O</w:t>
      </w:r>
      <w:r w:rsidR="008264C4" w:rsidRPr="008264C4">
        <w:rPr>
          <w:vertAlign w:val="subscript"/>
        </w:rPr>
        <w:t>2</w:t>
      </w:r>
      <w:r w:rsidR="008264C4">
        <w:t xml:space="preserve"> termékgáz esetén 99-99.8% között változik</w:t>
      </w:r>
      <w:r w:rsidR="00644863">
        <w:t>, ami katalitikus tisztítással (</w:t>
      </w:r>
      <w:proofErr w:type="spellStart"/>
      <w:r w:rsidR="00644863">
        <w:t>dezoxidálás</w:t>
      </w:r>
      <w:proofErr w:type="spellEnd"/>
      <w:r w:rsidR="00644863">
        <w:t xml:space="preserve">) akár 99.999% fölé vihető. </w:t>
      </w:r>
      <w:r w:rsidR="002D265D" w:rsidRPr="002D265D">
        <w:t xml:space="preserve">A nagy tisztaságú gáz </w:t>
      </w:r>
      <w:r w:rsidR="002D265D" w:rsidRPr="002D265D">
        <w:lastRenderedPageBreak/>
        <w:t>fenntartása fontos a tárolás biztonsága</w:t>
      </w:r>
      <w:r w:rsidR="002D265D">
        <w:t xml:space="preserve">, valamint </w:t>
      </w:r>
      <w:r w:rsidR="002D265D" w:rsidRPr="002D265D">
        <w:t>üzemanyagcellában történő közvetlen felhasználás szempontjából</w:t>
      </w:r>
      <w:r w:rsidR="002D265D">
        <w:t>.</w:t>
      </w:r>
      <w:r w:rsidR="002D265D" w:rsidRPr="002D265D">
        <w:t xml:space="preserve"> </w:t>
      </w:r>
      <w:r w:rsidR="00644863">
        <w:t xml:space="preserve">Az elektródokon lejátszó </w:t>
      </w:r>
      <w:r w:rsidR="009F1555">
        <w:t>reakciók</w:t>
      </w:r>
      <w:r w:rsidR="00644863">
        <w:t xml:space="preserve"> az alábbiak:</w:t>
      </w:r>
    </w:p>
    <w:p w:rsidR="00644863" w:rsidRDefault="006B407F" w:rsidP="00CD28E2">
      <w:pPr>
        <w:jc w:val="center"/>
        <w:rPr>
          <w:rFonts w:eastAsiaTheme="minorEastAsia"/>
        </w:rPr>
      </w:pPr>
      <m:oMath>
        <m:sSub>
          <m:sSubPr>
            <m:ctrlPr>
              <w:rPr>
                <w:rFonts w:ascii="Cambria Math" w:hAnsi="Cambria Math"/>
                <w:i/>
              </w:rPr>
            </m:ctrlPr>
          </m:sSubPr>
          <m:e>
            <m:r>
              <w:rPr>
                <w:rFonts w:ascii="Cambria Math" w:hAnsi="Cambria Math"/>
              </w:rPr>
              <m:t>2H</m:t>
            </m:r>
          </m:e>
          <m:sub>
            <m:r>
              <w:rPr>
                <w:rFonts w:ascii="Cambria Math" w:hAnsi="Cambria Math"/>
              </w:rPr>
              <m:t>2</m:t>
            </m:r>
          </m:sub>
        </m:sSub>
        <m:r>
          <w:rPr>
            <w:rFonts w:ascii="Cambria Math" w:hAnsi="Cambria Math"/>
          </w:rPr>
          <m:t>O+</m:t>
        </m:r>
        <m:sSup>
          <m:sSupPr>
            <m:ctrlPr>
              <w:rPr>
                <w:rFonts w:ascii="Cambria Math" w:hAnsi="Cambria Math"/>
                <w:i/>
              </w:rPr>
            </m:ctrlPr>
          </m:sSupPr>
          <m:e>
            <m:r>
              <w:rPr>
                <w:rFonts w:ascii="Cambria Math" w:hAnsi="Cambria Math"/>
              </w:rPr>
              <m:t>2e</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+2O</m:t>
        </m:r>
        <m:sSup>
          <m:sSupPr>
            <m:ctrlPr>
              <w:rPr>
                <w:rFonts w:ascii="Cambria Math" w:hAnsi="Cambria Math"/>
                <w:i/>
              </w:rPr>
            </m:ctrlPr>
          </m:sSupPr>
          <m:e>
            <m:r>
              <w:rPr>
                <w:rFonts w:ascii="Cambria Math" w:hAnsi="Cambria Math"/>
              </w:rPr>
              <m:t>H</m:t>
            </m:r>
          </m:e>
          <m:sup>
            <m:r>
              <w:rPr>
                <w:rFonts w:ascii="Cambria Math" w:hAnsi="Cambria Math"/>
              </w:rPr>
              <m:t>-</m:t>
            </m:r>
          </m:sup>
        </m:sSup>
      </m:oMath>
      <w:r w:rsidR="00327657">
        <w:rPr>
          <w:rFonts w:eastAsiaTheme="minorEastAsia"/>
        </w:rPr>
        <w:tab/>
      </w:r>
      <w:proofErr w:type="gramStart"/>
      <w:r w:rsidR="00327657">
        <w:rPr>
          <w:rFonts w:eastAsiaTheme="minorEastAsia"/>
        </w:rPr>
        <w:t>katód</w:t>
      </w:r>
      <w:proofErr w:type="gramEnd"/>
      <w:r w:rsidR="00327657">
        <w:rPr>
          <w:rFonts w:eastAsiaTheme="minorEastAsia"/>
        </w:rPr>
        <w:t>;</w:t>
      </w:r>
    </w:p>
    <w:p w:rsidR="00327657" w:rsidRDefault="00CD28E2" w:rsidP="00CD28E2">
      <w:pPr>
        <w:jc w:val="center"/>
        <w:rPr>
          <w:rFonts w:eastAsiaTheme="minorEastAsia"/>
        </w:rPr>
      </w:pPr>
      <m:oMath>
        <m:r>
          <w:rPr>
            <w:rFonts w:ascii="Cambria Math" w:hAnsi="Cambria Math"/>
          </w:rPr>
          <m:t>2O</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Sup>
          <m:sSupPr>
            <m:ctrlPr>
              <w:rPr>
                <w:rFonts w:ascii="Cambria Math" w:hAnsi="Cambria Math"/>
                <w:i/>
              </w:rPr>
            </m:ctrlPr>
          </m:sSupPr>
          <m:e>
            <m:r>
              <w:rPr>
                <w:rFonts w:ascii="Cambria Math" w:hAnsi="Cambria Math"/>
              </w:rPr>
              <m:t>2e</m:t>
            </m:r>
          </m:e>
          <m:sup>
            <m:r>
              <w:rPr>
                <w:rFonts w:ascii="Cambria Math" w:hAnsi="Cambria Math"/>
              </w:rPr>
              <m:t>-</m:t>
            </m:r>
          </m:sup>
        </m:sSup>
      </m:oMath>
      <w:r>
        <w:rPr>
          <w:rFonts w:eastAsiaTheme="minorEastAsia"/>
        </w:rPr>
        <w:tab/>
      </w:r>
      <w:proofErr w:type="gramStart"/>
      <w:r>
        <w:rPr>
          <w:rFonts w:eastAsiaTheme="minorEastAsia"/>
        </w:rPr>
        <w:t>anód</w:t>
      </w:r>
      <w:proofErr w:type="gramEnd"/>
      <w:r>
        <w:rPr>
          <w:rFonts w:eastAsiaTheme="minorEastAsia"/>
        </w:rPr>
        <w:t>.</w:t>
      </w:r>
    </w:p>
    <w:p w:rsidR="00852C24" w:rsidRDefault="009F1555" w:rsidP="00734696">
      <w:pPr>
        <w:jc w:val="both"/>
      </w:pPr>
      <w:r>
        <w:t xml:space="preserve">Ahogy a folyamatok is mutatják, víz </w:t>
      </w:r>
      <w:r w:rsidR="00C34196">
        <w:t xml:space="preserve">az anód oldalon </w:t>
      </w:r>
      <w:r>
        <w:t xml:space="preserve">keletkezik </w:t>
      </w:r>
      <w:r w:rsidR="00C34196">
        <w:t>és a katód oldalon kerül felhasználásra.</w:t>
      </w:r>
    </w:p>
    <w:p w:rsidR="00DE3BB9" w:rsidRDefault="00917C71" w:rsidP="00734696">
      <w:pPr>
        <w:jc w:val="both"/>
      </w:pPr>
      <w:proofErr w:type="gramStart"/>
      <w:r>
        <w:t>Viszonylag széles teljesítménytartományban mozgó technológia</w:t>
      </w:r>
      <w:r w:rsidR="00852C24">
        <w:t>, a legkisebb egységeknek</w:t>
      </w:r>
      <w:r>
        <w:t xml:space="preserve"> 55</w:t>
      </w:r>
      <w:r w:rsidR="00DE3BB9">
        <w:t> </w:t>
      </w:r>
      <w:proofErr w:type="spellStart"/>
      <w:r>
        <w:t>kW</w:t>
      </w:r>
      <w:r w:rsidRPr="00917C71">
        <w:rPr>
          <w:vertAlign w:val="subscript"/>
        </w:rPr>
        <w:t>e</w:t>
      </w:r>
      <w:proofErr w:type="spellEnd"/>
      <w:r>
        <w:t xml:space="preserve"> (</w:t>
      </w:r>
      <w:r w:rsidR="0059651F">
        <w:t>H</w:t>
      </w:r>
      <w:r w:rsidR="0059651F" w:rsidRPr="00852C24">
        <w:rPr>
          <w:vertAlign w:val="subscript"/>
        </w:rPr>
        <w:t>2</w:t>
      </w:r>
      <w:r w:rsidR="0059651F">
        <w:t xml:space="preserve"> termelés</w:t>
      </w:r>
      <w:r w:rsidR="00F223C5">
        <w:t>e</w:t>
      </w:r>
      <w:r w:rsidR="0059651F">
        <w:t xml:space="preserve"> </w:t>
      </w:r>
      <w:r>
        <w:t>0.4</w:t>
      </w:r>
      <w:r w:rsidR="00DE3BB9">
        <w:t> </w:t>
      </w:r>
      <w:r>
        <w:t>Nm</w:t>
      </w:r>
      <w:r w:rsidRPr="00917C71">
        <w:rPr>
          <w:vertAlign w:val="superscript"/>
        </w:rPr>
        <w:t>3</w:t>
      </w:r>
      <w:r>
        <w:t>/h)</w:t>
      </w:r>
      <w:r w:rsidR="00852C24">
        <w:t>, a legnagyobbaknak pedig</w:t>
      </w:r>
      <w:r w:rsidR="00DE3BB9">
        <w:t xml:space="preserve"> 3.5 </w:t>
      </w:r>
      <w:proofErr w:type="spellStart"/>
      <w:r w:rsidR="00DE3BB9">
        <w:t>MW</w:t>
      </w:r>
      <w:r w:rsidR="00DE3BB9" w:rsidRPr="00DE3BB9">
        <w:rPr>
          <w:vertAlign w:val="subscript"/>
        </w:rPr>
        <w:t>e</w:t>
      </w:r>
      <w:proofErr w:type="spellEnd"/>
      <w:r w:rsidR="00DE3BB9">
        <w:t xml:space="preserve"> (</w:t>
      </w:r>
      <w:r w:rsidR="0059651F">
        <w:t>H</w:t>
      </w:r>
      <w:r w:rsidR="0059651F" w:rsidRPr="00852C24">
        <w:rPr>
          <w:vertAlign w:val="subscript"/>
        </w:rPr>
        <w:t>2</w:t>
      </w:r>
      <w:r w:rsidR="0059651F">
        <w:t xml:space="preserve"> termelés</w:t>
      </w:r>
      <w:r w:rsidR="00F223C5">
        <w:t>e</w:t>
      </w:r>
      <w:r w:rsidR="0059651F">
        <w:t xml:space="preserve"> </w:t>
      </w:r>
      <w:r w:rsidR="00DE3BB9">
        <w:t>760 Nm</w:t>
      </w:r>
      <w:r w:rsidR="00DE3BB9" w:rsidRPr="00917C71">
        <w:rPr>
          <w:vertAlign w:val="superscript"/>
        </w:rPr>
        <w:t>3</w:t>
      </w:r>
      <w:r w:rsidR="00DE3BB9">
        <w:t>/h)</w:t>
      </w:r>
      <w:r w:rsidR="00852C24">
        <w:t xml:space="preserve"> villamosenergia fogyasztásuk van</w:t>
      </w:r>
      <w:proofErr w:type="gramEnd"/>
      <w:r w:rsidR="006C638C">
        <w:t xml:space="preserve"> </w:t>
      </w:r>
      <w:r w:rsidR="002B2A4C">
        <w:fldChar w:fldCharType="begin" w:fldLock="1"/>
      </w:r>
      <w:r w:rsidR="009974CC">
        <w:instrText>ADDIN CSL_CITATION {"citationItems":[{"id":"ITEM-1","itemData":{"DOI":"10.1016/j.rser.2018.04.072","ISSN":"18790690","abstract":"The energy sector is undergoing substantial changes in order to promote better efficiency, increase the use of renewable energy, reduce emissions and effectively deploy technologies to trade off costs and benefits One emerging solution is the application of the Power-to-Gas technology, which can be used for different purposes. In recent years, Power-to-Gas has been studied to understand the role it could play in the electrical system. This paper has the aims of analysing the existing literature about the Power-to-Gas technology in detail, by considering some solutions that have a direct impact on the electrical system (in particular electrolyser and CO2 production) and applications in the different sectors of the electricity value chain (i.e., generation, transmission, distribution and utilisation). This paper sets out the conceptual aspects that are necessary to include Power-to-Gas facilities in a more comprehensive analysis framework of the operation of the electrical system in various sectors. Some perspectives concerning new Power-to-Gas applications are also presented for each sector, and some promising aspects that are expected to play a relevant role in the future technical and economic evolution of electrical systems are discussed.","author":[{"dropping-particle":"","family":"Mazza","given":"Andrea","non-dropping-particle":"","parse-names":false,"suffix":""},{"dropping-particle":"","family":"Bompard","given":"Ettore","non-dropping-particle":"","parse-names":false,"suffix":""},{"dropping-particle":"","family":"Chicco","given":"Gianfranco","non-dropping-particle":"","parse-names":false,"suffix":""}],"container-title":"Renewable and Sustainable Energy Reviews","id":"ITEM-1","issue":"April","issued":{"date-parts":[["2018"]]},"page":"794-806","publisher":"Elsevier Ltd","title":"Applications of power to gas technologies in emerging electrical systems","type":"article-journal","volume":"92"},"uris":["http://www.mendeley.com/documents/?uuid=ca49bf14-5d12-43e3-a5c9-619008d720d1"]}],"mendeley":{"formattedCitation":"[14]","plainTextFormattedCitation":"[14]","previouslyFormattedCitation":"[13]"},"properties":{"noteIndex":0},"schema":"https://github.com/citation-style-language/schema/raw/master/csl-citation.json"}</w:instrText>
      </w:r>
      <w:r w:rsidR="002B2A4C">
        <w:fldChar w:fldCharType="separate"/>
      </w:r>
      <w:r w:rsidR="009974CC" w:rsidRPr="009974CC">
        <w:rPr>
          <w:noProof/>
        </w:rPr>
        <w:t>[14]</w:t>
      </w:r>
      <w:r w:rsidR="002B2A4C">
        <w:fldChar w:fldCharType="end"/>
      </w:r>
      <w:r w:rsidR="00DE3BB9">
        <w:t>. A legkisebb teljesítményű egységek hatásfoka 47% körül, a legnagyobb</w:t>
      </w:r>
      <w:r w:rsidR="00852C24">
        <w:t>aké pedig</w:t>
      </w:r>
      <w:r w:rsidR="00DE3BB9">
        <w:t xml:space="preserve"> 82% körül mozog.</w:t>
      </w:r>
      <w:r w:rsidR="00285140">
        <w:t xml:space="preserve"> </w:t>
      </w:r>
      <w:r w:rsidR="00403235">
        <w:t>A gáz tisztaságától</w:t>
      </w:r>
      <w:r w:rsidR="0059651F">
        <w:t xml:space="preserve"> függően hidegindításra</w:t>
      </w:r>
      <w:r w:rsidR="00403235">
        <w:t xml:space="preserve"> </w:t>
      </w:r>
      <w:r w:rsidR="0059651F">
        <w:t>perces</w:t>
      </w:r>
      <w:r w:rsidR="00403235">
        <w:t xml:space="preserve"> (min. 10 perc)</w:t>
      </w:r>
      <w:r w:rsidR="0059651F">
        <w:t xml:space="preserve"> vagy órás </w:t>
      </w:r>
      <w:proofErr w:type="gramStart"/>
      <w:r w:rsidR="0059651F">
        <w:t>intervallumban</w:t>
      </w:r>
      <w:proofErr w:type="gramEnd"/>
      <w:r w:rsidR="0059651F">
        <w:t xml:space="preserve"> van lehetőség, a készenléti idő pedig másodperces vagy perces lehet. Üzemi nyomása 1 bar és 30 bar között, üzemi hőmérséklete pedig 65°C és 100°C között változhat.</w:t>
      </w:r>
      <w:r w:rsidR="008A24D6">
        <w:t xml:space="preserve"> </w:t>
      </w:r>
      <w:proofErr w:type="gramStart"/>
      <w:r w:rsidR="008A24D6">
        <w:t xml:space="preserve">Fajlagos költsége 1000 </w:t>
      </w:r>
      <w:r w:rsidR="008A24D6">
        <w:rPr>
          <w:rFonts w:cstheme="minorHAnsi"/>
        </w:rPr>
        <w:t>€</w:t>
      </w:r>
      <w:r w:rsidR="008A24D6">
        <w:t xml:space="preserve">/kW körül mozog, élettartama pedig 15 </w:t>
      </w:r>
      <w:r w:rsidR="00BD2ABB">
        <w:rPr>
          <w:rFonts w:cstheme="minorHAnsi"/>
        </w:rPr>
        <w:t>-</w:t>
      </w:r>
      <w:r w:rsidR="008A24D6">
        <w:t xml:space="preserve"> 30 év között változhat</w:t>
      </w:r>
      <w:proofErr w:type="gramEnd"/>
      <w:r w:rsidR="006C638C">
        <w:t xml:space="preserve"> </w:t>
      </w:r>
      <w:r w:rsidR="006C638C">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6C638C">
        <w:fldChar w:fldCharType="separate"/>
      </w:r>
      <w:r w:rsidR="009974CC" w:rsidRPr="009974CC">
        <w:rPr>
          <w:noProof/>
        </w:rPr>
        <w:t>[11]</w:t>
      </w:r>
      <w:r w:rsidR="006C638C">
        <w:fldChar w:fldCharType="end"/>
      </w:r>
      <w:r w:rsidR="006C638C">
        <w:t xml:space="preserve">, </w:t>
      </w:r>
      <w:r w:rsidR="006C638C">
        <w:fldChar w:fldCharType="begin" w:fldLock="1"/>
      </w:r>
      <w:r w:rsidR="009974CC">
        <w:instrText>ADDIN CSL_CITATION {"citationItems":[{"id":"ITEM-1","itemData":{"DOI":"10.1016/j.rser.2017.09.003","ISSN":"18790690","abstract":"Water electrolysis has the potential to become a key element in coupling the electricity, mobility, heating and chemical sector via Power-to-Liquids (PtL) or Power-to-Gas (PtG) in a future sustainable energy system. Based on an extensive market survey, discussions with manufacturers, project reports and literature, an overview of the current status of alkaline, PEM and solid oxide electrolysis on the way to large-scale flexible energy storage is presented. These main water electrolysis technologies were compared in terms of available capacity, nominal and part-load performance, flexibility (load range, load gradients, start-up time, stand-by losses) lifetime and investment costs. This review provides a basis of the parameters required and the necessary understanding of electrolysis fundamentals and technologies for a techno-economic analysis of water electrolysis-based concepts and an evaluation of PtG and PtL in energy system studies.","author":[{"dropping-particle":"","family":"Buttler","given":"Alexander","non-dropping-particle":"","parse-names":false,"suffix":""},{"dropping-particle":"","family":"Spliethoff","given":"Hartmut","non-dropping-particle":"","parse-names":false,"suffix":""}],"container-title":"Renewable and Sustainable Energy Reviews","id":"ITEM-1","issue":"September 2017","issued":{"date-parts":[["2018"]]},"page":"2440-2454","title":"Current status of water electrolysis for energy storage, grid balancing and sector coupling via power-to-gas and power-to-liquids: A review","type":"article-journal","volume":"82"},"uris":["http://www.mendeley.com/documents/?uuid=24a4721b-dba5-4278-92a8-1b457709423c"]}],"mendeley":{"formattedCitation":"[15]","plainTextFormattedCitation":"[15]","previouslyFormattedCitation":"[14]"},"properties":{"noteIndex":0},"schema":"https://github.com/citation-style-language/schema/raw/master/csl-citation.json"}</w:instrText>
      </w:r>
      <w:r w:rsidR="006C638C">
        <w:fldChar w:fldCharType="separate"/>
      </w:r>
      <w:r w:rsidR="009974CC" w:rsidRPr="009974CC">
        <w:rPr>
          <w:noProof/>
        </w:rPr>
        <w:t>[15]</w:t>
      </w:r>
      <w:r w:rsidR="006C638C">
        <w:fldChar w:fldCharType="end"/>
      </w:r>
      <w:r w:rsidR="008A24D6">
        <w:t>.</w:t>
      </w:r>
    </w:p>
    <w:p w:rsidR="00154365" w:rsidRDefault="00154365" w:rsidP="00734696">
      <w:pPr>
        <w:jc w:val="both"/>
      </w:pPr>
      <w:r>
        <w:t xml:space="preserve">Az alkálikus elektrolízis három legjelentősebb </w:t>
      </w:r>
      <w:proofErr w:type="gramStart"/>
      <w:r>
        <w:t>problémája</w:t>
      </w:r>
      <w:proofErr w:type="gramEnd"/>
      <w:r>
        <w:t xml:space="preserve"> az alacsony részterhelési tartomány (40% körüli részterhelési határ), alacsony áramsűrűség és alacsony nyomású működés. A diafragma nem akadályozza meg teljesen a termékgáz keresztdiffúzióját. Az O</w:t>
      </w:r>
      <w:r w:rsidRPr="00154365">
        <w:rPr>
          <w:vertAlign w:val="subscript"/>
        </w:rPr>
        <w:t>2</w:t>
      </w:r>
      <w:r>
        <w:t xml:space="preserve"> katód oldalra való diffúziója csökkenti a cella hatásfokát, mivel az O</w:t>
      </w:r>
      <w:r w:rsidRPr="00154365">
        <w:rPr>
          <w:vertAlign w:val="subscript"/>
        </w:rPr>
        <w:t>2</w:t>
      </w:r>
      <w:r>
        <w:t xml:space="preserve"> ismét vízzé katalizálja a H</w:t>
      </w:r>
      <w:r w:rsidRPr="00154365">
        <w:rPr>
          <w:vertAlign w:val="subscript"/>
        </w:rPr>
        <w:t>2</w:t>
      </w:r>
      <w:r>
        <w:t>-t. Egy O</w:t>
      </w:r>
      <w:r w:rsidRPr="00154365">
        <w:rPr>
          <w:vertAlign w:val="subscript"/>
        </w:rPr>
        <w:t>2</w:t>
      </w:r>
      <w:r>
        <w:t xml:space="preserve"> oldalon bekövetkező részleges H</w:t>
      </w:r>
      <w:r w:rsidRPr="00E263B0">
        <w:rPr>
          <w:vertAlign w:val="subscript"/>
        </w:rPr>
        <w:t>2</w:t>
      </w:r>
      <w:r>
        <w:t xml:space="preserve"> diffúzió is rontja a hatásfokot, valamint a biztonságot. Ennek a veszélye alacsony terhelésen (4 mol% H</w:t>
      </w:r>
      <w:r w:rsidRPr="00154365">
        <w:rPr>
          <w:vertAlign w:val="subscript"/>
        </w:rPr>
        <w:t>2</w:t>
      </w:r>
      <w:r>
        <w:t xml:space="preserve">) nagy. </w:t>
      </w:r>
      <w:r w:rsidR="00E263B0">
        <w:t xml:space="preserve">Az alacsony áramsűrűség a folyékony elektrolit és diafragma miatt fellépő magas ohmos veszteségek eredménye. </w:t>
      </w:r>
      <w:proofErr w:type="gramStart"/>
      <w:r w:rsidR="00E263B0">
        <w:t>A folyékony elektrolit másik hátránya, hogy nem teszi lehetővé a magas nyomáson történő működést, ami egy terjedelmes kialakításhoz vezet</w:t>
      </w:r>
      <w:proofErr w:type="gramEnd"/>
      <w:r w:rsidR="002B2A4C">
        <w:t xml:space="preserve"> </w:t>
      </w:r>
      <w:r w:rsidR="002B2A4C">
        <w:fldChar w:fldCharType="begin" w:fldLock="1"/>
      </w:r>
      <w:r w:rsidR="009974CC">
        <w:instrText>ADDIN CSL_CITATION {"citationItems":[{"id":"ITEM-1","itemData":{"DOI":"10.1016/j.ijhydene.2013.01.151","ISSN":"03603199","abstract":"Hydrogen is often considered the best means by which to store energy coming from renewable and intermittent power sources. With the growing capacity of localized renewable energy sources surpassing the gigawatt range, a storage system of equal magnitude is required. PEM electrolysis provides a sustainable solution for the production of hydrogen, and is well suited to couple with energy sources such as wind and solar. However, due to low demand in electrolytic hydrogen in the last century, little research has been done on PEM electrolysis with many challenges still unexplored. The ever increasing desire for green energy has rekindled the interest on PEM electrolysis, thus the compilation and recovery of past research and developments is important and necessary. In this review, PEM water electrolysis is comprehensively highlighted and discussed. The challenges new and old related to electrocatalysts, solid electrolyte, current collectors, separator plates and modeling efforts will also be addressed. The main message is to clearly set the state-of-the-art for the PEM electrolysis technology, be insightful of the research that is already done and the challenges that still exist. This information will provide several future research directions and a road map in order to aid scientists in establishing PEM electrolysis as a commercially viable hydrogen production solution. Copyright © 2013, Hydrogen Energy Publications, LLC. Published by Elsevier Ltd. All rights reserved.","author":[{"dropping-particle":"","family":"Carmo","given":"Marcelo","non-dropping-particle":"","parse-names":false,"suffix":""},{"dropping-particle":"","family":"Fritz","given":"David L.","non-dropping-particle":"","parse-names":false,"suffix":""},{"dropping-particle":"","family":"Mergel","given":"Jürgen","non-dropping-particle":"","parse-names":false,"suffix":""},{"dropping-particle":"","family":"Stolten","given":"Detlef","non-dropping-particle":"","parse-names":false,"suffix":""}],"container-title":"International Journal of Hydrogen Energy","id":"ITEM-1","issue":"12","issued":{"date-parts":[["2013"]]},"page":"4901-4934","title":"A comprehensive review on PEM water electrolysis","type":"article-journal","volume":"38"},"uris":["http://www.mendeley.com/documents/?uuid=51098476-71e4-47dd-b402-f438f663c0ed"]}],"mendeley":{"formattedCitation":"[16]","plainTextFormattedCitation":"[16]","previouslyFormattedCitation":"[15]"},"properties":{"noteIndex":0},"schema":"https://github.com/citation-style-language/schema/raw/master/csl-citation.json"}</w:instrText>
      </w:r>
      <w:r w:rsidR="002B2A4C">
        <w:fldChar w:fldCharType="separate"/>
      </w:r>
      <w:r w:rsidR="009974CC" w:rsidRPr="009974CC">
        <w:rPr>
          <w:noProof/>
        </w:rPr>
        <w:t>[16]</w:t>
      </w:r>
      <w:r w:rsidR="002B2A4C">
        <w:fldChar w:fldCharType="end"/>
      </w:r>
      <w:r w:rsidR="00E263B0">
        <w:t>.</w:t>
      </w:r>
    </w:p>
    <w:p w:rsidR="0059651F" w:rsidRPr="00A353B0" w:rsidRDefault="008A24D6" w:rsidP="004677BC">
      <w:pPr>
        <w:pStyle w:val="Heading3"/>
      </w:pPr>
      <w:r w:rsidRPr="00A353B0">
        <w:t>Protoncserélő-membrános elektrolízis</w:t>
      </w:r>
      <w:r w:rsidR="00871876">
        <w:t xml:space="preserve"> (PEM)</w:t>
      </w:r>
    </w:p>
    <w:p w:rsidR="00A5265C" w:rsidRDefault="009D002A" w:rsidP="00A5265C">
      <w:pPr>
        <w:jc w:val="both"/>
      </w:pPr>
      <w:r>
        <w:t xml:space="preserve">A vízbontásra alkalmazott PEM technológiát </w:t>
      </w:r>
      <w:r w:rsidR="009C6C01">
        <w:t>1966</w:t>
      </w:r>
      <w:r>
        <w:t>-</w:t>
      </w:r>
      <w:r w:rsidR="009C6C01">
        <w:t xml:space="preserve">ban fejlesztette ki a General </w:t>
      </w:r>
      <w:proofErr w:type="spellStart"/>
      <w:r w:rsidR="009C6C01">
        <w:t>Electric</w:t>
      </w:r>
      <w:proofErr w:type="spellEnd"/>
      <w:r>
        <w:t>, de csak 1978-ban tette kereskedelmi forgalomba elérhetővé</w:t>
      </w:r>
      <w:r w:rsidR="009C6C01">
        <w:t>.</w:t>
      </w:r>
      <w:r>
        <w:t xml:space="preserve"> </w:t>
      </w:r>
      <w:r w:rsidR="005132FD">
        <w:t>Protoncserélő-membrán választja el egymástól a két félcellát (</w:t>
      </w:r>
      <w:r w:rsidR="00651508">
        <w:t>és a termékgázokat</w:t>
      </w:r>
      <w:r w:rsidR="005132FD">
        <w:t>)</w:t>
      </w:r>
      <w:r w:rsidR="00BD2ABB">
        <w:t>, vezeti a protonokat,</w:t>
      </w:r>
      <w:r w:rsidR="005132FD">
        <w:t xml:space="preserve"> </w:t>
      </w:r>
      <w:r w:rsidR="00651508">
        <w:t>valamint felelős</w:t>
      </w:r>
      <w:r w:rsidR="005132FD">
        <w:t xml:space="preserve"> az elektródák </w:t>
      </w:r>
      <w:r w:rsidR="00651508" w:rsidRPr="00EB6A7B">
        <w:t>elektromos szigeteléséért</w:t>
      </w:r>
      <w:r w:rsidR="00651508">
        <w:t xml:space="preserve">. </w:t>
      </w:r>
      <w:r w:rsidR="00CA307D">
        <w:t xml:space="preserve">A korrozív, erősen savas rendszer </w:t>
      </w:r>
      <w:r w:rsidR="00A5265C">
        <w:t xml:space="preserve">a katalízishez </w:t>
      </w:r>
      <w:r w:rsidR="00CA307D">
        <w:t>nemesfémek használatát teszi szükségessé</w:t>
      </w:r>
      <w:r w:rsidR="00A5265C">
        <w:t>,</w:t>
      </w:r>
      <w:r w:rsidR="00CA307D">
        <w:t xml:space="preserve"> </w:t>
      </w:r>
      <w:r w:rsidR="00A5265C">
        <w:t>a</w:t>
      </w:r>
      <w:r w:rsidR="00CA307D">
        <w:t>nódnál irídiumot, katódnál platinát használnak.</w:t>
      </w:r>
      <w:r w:rsidR="00A5265C" w:rsidRPr="00A5265C">
        <w:t xml:space="preserve"> </w:t>
      </w:r>
      <w:r w:rsidR="00D052CA">
        <w:t>Részben ezzel is magyarázható, hogy a technológia fajlagos költsége kétszerese (</w:t>
      </w:r>
      <w:proofErr w:type="gramStart"/>
      <w:r w:rsidR="00D052CA">
        <w:t>&gt;2000</w:t>
      </w:r>
      <w:proofErr w:type="gramEnd"/>
      <w:r w:rsidR="00D052CA">
        <w:t xml:space="preserve"> </w:t>
      </w:r>
      <w:r w:rsidR="00D052CA">
        <w:rPr>
          <w:rFonts w:cstheme="minorHAnsi"/>
        </w:rPr>
        <w:t>€</w:t>
      </w:r>
      <w:r w:rsidR="00D052CA">
        <w:t xml:space="preserve">/kW) az alkálikus eljárásnak. </w:t>
      </w:r>
      <w:r w:rsidR="00A5265C">
        <w:t>Működés során az anódot vízzel látják el, és az elektródokon az alábbi reakciók játszódnak le:</w:t>
      </w:r>
    </w:p>
    <w:p w:rsidR="00A5265C" w:rsidRDefault="00A5265C" w:rsidP="00A5265C">
      <w:pPr>
        <w:jc w:val="center"/>
        <w:rPr>
          <w:rFonts w:eastAsiaTheme="minorEastAsia"/>
        </w:rPr>
      </w:pPr>
      <m:oMath>
        <m:r>
          <w:rPr>
            <w:rFonts w:ascii="Cambria Math" w:hAnsi="Cambria Math"/>
          </w:rPr>
          <m:t>2</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2e</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oMath>
      <w:r>
        <w:rPr>
          <w:rFonts w:eastAsiaTheme="minorEastAsia"/>
        </w:rPr>
        <w:tab/>
      </w:r>
      <w:proofErr w:type="gramStart"/>
      <w:r>
        <w:rPr>
          <w:rFonts w:eastAsiaTheme="minorEastAsia"/>
        </w:rPr>
        <w:t>katód</w:t>
      </w:r>
      <w:proofErr w:type="gramEnd"/>
      <w:r>
        <w:rPr>
          <w:rFonts w:eastAsiaTheme="minorEastAsia"/>
        </w:rPr>
        <w:t>;</w:t>
      </w:r>
    </w:p>
    <w:p w:rsidR="00A5265C" w:rsidRDefault="006B407F" w:rsidP="00A5265C">
      <w:pPr>
        <w:jc w:val="center"/>
        <w:rPr>
          <w:rFonts w:eastAsiaTheme="minorEastAsia"/>
        </w:rPr>
      </w:p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+2</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2e</m:t>
            </m:r>
          </m:e>
          <m:sup>
            <m:r>
              <w:rPr>
                <w:rFonts w:ascii="Cambria Math" w:hAnsi="Cambria Math"/>
              </w:rPr>
              <m:t>-</m:t>
            </m:r>
          </m:sup>
        </m:sSup>
      </m:oMath>
      <w:r w:rsidR="00A5265C">
        <w:rPr>
          <w:rFonts w:eastAsiaTheme="minorEastAsia"/>
        </w:rPr>
        <w:tab/>
      </w:r>
      <w:proofErr w:type="gramStart"/>
      <w:r w:rsidR="00A5265C">
        <w:rPr>
          <w:rFonts w:eastAsiaTheme="minorEastAsia"/>
        </w:rPr>
        <w:t>anód</w:t>
      </w:r>
      <w:proofErr w:type="gramEnd"/>
      <w:r w:rsidR="00A5265C">
        <w:rPr>
          <w:rFonts w:eastAsiaTheme="minorEastAsia"/>
        </w:rPr>
        <w:t>.</w:t>
      </w:r>
    </w:p>
    <w:p w:rsidR="00A6713E" w:rsidRDefault="00DF20CE" w:rsidP="00A6713E">
      <w:pPr>
        <w:jc w:val="both"/>
      </w:pPr>
      <w:r>
        <w:t xml:space="preserve">A </w:t>
      </w:r>
      <w:r w:rsidR="00EB6A7B">
        <w:t xml:space="preserve">szilárd </w:t>
      </w:r>
      <w:r>
        <w:t xml:space="preserve">polimer elektrolitmembrán </w:t>
      </w:r>
      <w:r w:rsidR="00EB6A7B">
        <w:t xml:space="preserve">csak </w:t>
      </w:r>
      <w:r>
        <w:t xml:space="preserve">nagyon </w:t>
      </w:r>
      <w:r w:rsidR="00EB6A7B">
        <w:t xml:space="preserve">kis keresztmetszeten </w:t>
      </w:r>
      <w:r>
        <w:t>átereszt</w:t>
      </w:r>
      <w:r w:rsidR="00EB6A7B">
        <w:t>ő</w:t>
      </w:r>
      <w:r w:rsidR="002D265D">
        <w:t xml:space="preserve">, ami </w:t>
      </w:r>
      <w:r w:rsidR="002D265D" w:rsidRPr="002D265D">
        <w:t>alacsony gázátbocsátási sebesség</w:t>
      </w:r>
      <w:r w:rsidR="002D265D">
        <w:t>et eredményez</w:t>
      </w:r>
      <w:r>
        <w:t>,</w:t>
      </w:r>
      <w:r w:rsidR="00EB6A7B">
        <w:t xml:space="preserve"> a hagyományos lúgos elektrolízishez képest</w:t>
      </w:r>
      <w:r w:rsidR="00B54DD8">
        <w:t xml:space="preserve"> pedig</w:t>
      </w:r>
      <w:r w:rsidR="002D265D">
        <w:t xml:space="preserve"> </w:t>
      </w:r>
      <w:r>
        <w:t>nagyobb tisztaságú</w:t>
      </w:r>
      <w:r w:rsidR="00B54DD8">
        <w:t>,</w:t>
      </w:r>
      <w:r>
        <w:t xml:space="preserve"> </w:t>
      </w:r>
      <w:r w:rsidR="00B54DD8">
        <w:t xml:space="preserve">jellemzően 99.99%-t meghaladó </w:t>
      </w:r>
      <w:r w:rsidR="00EB6A7B">
        <w:t>H</w:t>
      </w:r>
      <w:r w:rsidR="00EB6A7B" w:rsidRPr="00EB6A7B">
        <w:rPr>
          <w:vertAlign w:val="subscript"/>
        </w:rPr>
        <w:t>2</w:t>
      </w:r>
      <w:r>
        <w:t xml:space="preserve"> termel</w:t>
      </w:r>
      <w:r w:rsidR="002D265D">
        <w:t>hető</w:t>
      </w:r>
      <w:r>
        <w:t xml:space="preserve"> </w:t>
      </w:r>
      <w:r w:rsidR="00EB6A7B">
        <w:t xml:space="preserve">szárítás után. </w:t>
      </w:r>
      <w:r>
        <w:t>PEM-elektrolízis</w:t>
      </w:r>
      <w:r w:rsidR="00EB6A7B">
        <w:t xml:space="preserve"> </w:t>
      </w:r>
      <w:r>
        <w:t xml:space="preserve">a szilárd elektrolitnak és </w:t>
      </w:r>
      <w:r w:rsidR="00EB6A7B">
        <w:t xml:space="preserve">a lúgos elektrolízishez képest </w:t>
      </w:r>
      <w:r>
        <w:t>nagy</w:t>
      </w:r>
      <w:r w:rsidR="00EB6A7B">
        <w:t>obb</w:t>
      </w:r>
      <w:r>
        <w:t xml:space="preserve"> áramsűrűségű működésnek köszönhetően </w:t>
      </w:r>
      <w:proofErr w:type="gramStart"/>
      <w:r>
        <w:t>kompakt</w:t>
      </w:r>
      <w:proofErr w:type="gramEnd"/>
      <w:r>
        <w:t xml:space="preserve"> modulkialakítással rendelkezik. </w:t>
      </w:r>
      <w:proofErr w:type="gramStart"/>
      <w:r w:rsidR="00D052CA">
        <w:t xml:space="preserve">A nagy áramsűrűség kedvező dinamikai tulajdonságokat </w:t>
      </w:r>
      <w:r w:rsidR="00D052CA" w:rsidRPr="009C5361">
        <w:t>eredményez</w:t>
      </w:r>
      <w:proofErr w:type="gramEnd"/>
      <w:r w:rsidR="00F77753" w:rsidRPr="009C5361">
        <w:t xml:space="preserve"> </w:t>
      </w:r>
      <w:r w:rsidR="00C263C1" w:rsidRPr="009C5361">
        <w:fldChar w:fldCharType="begin" w:fldLock="1"/>
      </w:r>
      <w:r w:rsidR="009974CC">
        <w:instrText>ADDIN CSL_CITATION {"citationItems":[{"id":"ITEM-1","itemData":{"DOI":"10.1016/j.ijhydene.2013.01.151","ISSN":"03603199","abstract":"Hydrogen is often considered the best means by which to store energy coming from renewable and intermittent power sources. With the growing capacity of localized renewable energy sources surpassing the gigawatt range, a storage system of equal magnitude is required. PEM electrolysis provides a sustainable solution for the production of hydrogen, and is well suited to couple with energy sources such as wind and solar. However, due to low demand in electrolytic hydrogen in the last century, little research has been done on PEM electrolysis with many challenges still unexplored. The ever increasing desire for green energy has rekindled the interest on PEM electrolysis, thus the compilation and recovery of past research and developments is important and necessary. In this review, PEM water electrolysis is comprehensively highlighted and discussed. The challenges new and old related to electrocatalysts, solid electrolyte, current collectors, separator plates and modeling efforts will also be addressed. The main message is to clearly set the state-of-the-art for the PEM electrolysis technology, be insightful of the research that is already done and the challenges that still exist. This information will provide several future research directions and a road map in order to aid scientists in establishing PEM electrolysis as a commercially viable hydrogen production solution. Copyright © 2013, Hydrogen Energy Publications, LLC. Published by Elsevier Ltd. All rights reserved.","author":[{"dropping-particle":"","family":"Carmo","given":"Marcelo","non-dropping-particle":"","parse-names":false,"suffix":""},{"dropping-particle":"","family":"Fritz","given":"David L.","non-dropping-particle":"","parse-names":false,"suffix":""},{"dropping-particle":"","family":"Mergel","given":"Jürgen","non-dropping-particle":"","parse-names":false,"suffix":""},{"dropping-particle":"","family":"Stolten","given":"Detlef","non-dropping-particle":"","parse-names":false,"suffix":""}],"container-title":"International Journal of Hydrogen Energy","id":"ITEM-1","issue":"12","issued":{"date-parts":[["2013"]]},"page":"4901-4934","title":"A comprehensive review on PEM water electrolysis","type":"article-journal","volume":"38"},"uris":["http://www.mendeley.com/documents/?uuid=51098476-71e4-47dd-b402-f438f663c0ed"]}],"mendeley":{"formattedCitation":"[16]","plainTextFormattedCitation":"[16]","previouslyFormattedCitation":"[15]"},"properties":{"noteIndex":0},"schema":"https://github.com/citation-style-language/schema/raw/master/csl-citation.json"}</w:instrText>
      </w:r>
      <w:r w:rsidR="00C263C1" w:rsidRPr="009C5361">
        <w:fldChar w:fldCharType="separate"/>
      </w:r>
      <w:r w:rsidR="009974CC" w:rsidRPr="009974CC">
        <w:rPr>
          <w:noProof/>
        </w:rPr>
        <w:t>[16]</w:t>
      </w:r>
      <w:r w:rsidR="00C263C1" w:rsidRPr="009C5361">
        <w:fldChar w:fldCharType="end"/>
      </w:r>
      <w:r w:rsidR="00D052CA" w:rsidRPr="009C5361">
        <w:t>,</w:t>
      </w:r>
      <w:r w:rsidR="00D052CA">
        <w:t xml:space="preserve"> amik hatékony működést tesznek lehetővé olyan körülmények között, ahol az áramfelvétel lökésszerű (szél- és napenergia). </w:t>
      </w:r>
      <w:r w:rsidR="00EB6A7B">
        <w:t xml:space="preserve">A szilárd elektrolit szerkezeti tulajdonságai szintén lehetővé teszik </w:t>
      </w:r>
      <w:r w:rsidR="00B54DD8">
        <w:t>nagy</w:t>
      </w:r>
      <w:r w:rsidR="00810A72">
        <w:t xml:space="preserve"> </w:t>
      </w:r>
      <w:r w:rsidR="00EB6A7B">
        <w:t>nyomáskülönbség</w:t>
      </w:r>
      <w:r w:rsidR="00154A43">
        <w:t xml:space="preserve"> kialakítását</w:t>
      </w:r>
      <w:r w:rsidR="00EB6A7B">
        <w:t xml:space="preserve"> a </w:t>
      </w:r>
      <w:r w:rsidR="00810A72">
        <w:t>H</w:t>
      </w:r>
      <w:r w:rsidR="00810A72" w:rsidRPr="002D265D">
        <w:rPr>
          <w:vertAlign w:val="subscript"/>
        </w:rPr>
        <w:t>2</w:t>
      </w:r>
      <w:r w:rsidR="00EB6A7B">
        <w:t xml:space="preserve"> és az </w:t>
      </w:r>
      <w:r w:rsidR="00810A72">
        <w:t>O</w:t>
      </w:r>
      <w:r w:rsidR="00810A72" w:rsidRPr="002D265D">
        <w:rPr>
          <w:vertAlign w:val="subscript"/>
        </w:rPr>
        <w:t>2</w:t>
      </w:r>
      <w:r w:rsidR="00810A72">
        <w:t xml:space="preserve"> oldala</w:t>
      </w:r>
      <w:r w:rsidR="00EB6A7B">
        <w:t xml:space="preserve"> között (jelenleg</w:t>
      </w:r>
      <w:r w:rsidR="001A71BE">
        <w:t xml:space="preserve"> </w:t>
      </w:r>
      <w:r w:rsidR="00EB6A7B">
        <w:t>350</w:t>
      </w:r>
      <w:r w:rsidR="00154A43">
        <w:t> </w:t>
      </w:r>
      <w:r w:rsidR="00EB6A7B">
        <w:t>bar nyomáskülönbség</w:t>
      </w:r>
      <w:r w:rsidR="00154A43">
        <w:t xml:space="preserve"> is elérhető</w:t>
      </w:r>
      <w:r w:rsidR="001A71BE">
        <w:t>)</w:t>
      </w:r>
      <w:r w:rsidR="00EB6A7B">
        <w:t>.</w:t>
      </w:r>
      <w:r w:rsidR="00D11D5B">
        <w:t xml:space="preserve"> Részterhelésre a teljes üzemi tartományban (0%-100%) képes.</w:t>
      </w:r>
    </w:p>
    <w:p w:rsidR="00A6713E" w:rsidRDefault="00FB219F" w:rsidP="00A6713E">
      <w:pPr>
        <w:jc w:val="both"/>
      </w:pPr>
      <w:r>
        <w:lastRenderedPageBreak/>
        <w:t xml:space="preserve">A lúgos </w:t>
      </w:r>
      <w:proofErr w:type="spellStart"/>
      <w:r>
        <w:t>elektrolizátorhoz</w:t>
      </w:r>
      <w:proofErr w:type="spellEnd"/>
      <w:r>
        <w:t xml:space="preserve"> hasonlóan viszonylag széles teljesítménytartományban mozgó technológia, a legkisebb egységeknek 12 </w:t>
      </w:r>
      <w:proofErr w:type="spellStart"/>
      <w:r>
        <w:t>kW</w:t>
      </w:r>
      <w:r w:rsidRPr="00917C71">
        <w:rPr>
          <w:vertAlign w:val="subscript"/>
        </w:rPr>
        <w:t>e</w:t>
      </w:r>
      <w:proofErr w:type="spellEnd"/>
      <w:r>
        <w:t xml:space="preserve"> (H</w:t>
      </w:r>
      <w:r w:rsidRPr="00852C24">
        <w:rPr>
          <w:vertAlign w:val="subscript"/>
        </w:rPr>
        <w:t>2</w:t>
      </w:r>
      <w:r>
        <w:t xml:space="preserve"> termelése 0.53 Nm</w:t>
      </w:r>
      <w:r w:rsidRPr="00917C71">
        <w:rPr>
          <w:vertAlign w:val="superscript"/>
        </w:rPr>
        <w:t>3</w:t>
      </w:r>
      <w:r>
        <w:t>/h), a legnagyobbaknak pedig 2 </w:t>
      </w:r>
      <w:proofErr w:type="spellStart"/>
      <w:r>
        <w:t>MW</w:t>
      </w:r>
      <w:r w:rsidRPr="00DE3BB9">
        <w:rPr>
          <w:vertAlign w:val="subscript"/>
        </w:rPr>
        <w:t>e</w:t>
      </w:r>
      <w:proofErr w:type="spellEnd"/>
      <w:r>
        <w:t xml:space="preserve"> (H</w:t>
      </w:r>
      <w:r w:rsidRPr="00852C24">
        <w:rPr>
          <w:vertAlign w:val="subscript"/>
        </w:rPr>
        <w:t>2</w:t>
      </w:r>
      <w:r>
        <w:t xml:space="preserve"> termelése 400 Nm</w:t>
      </w:r>
      <w:r w:rsidRPr="00917C71">
        <w:rPr>
          <w:vertAlign w:val="superscript"/>
        </w:rPr>
        <w:t>3</w:t>
      </w:r>
      <w:r>
        <w:t xml:space="preserve">/h) villamosenergia fogyasztásuk van. A legkisebb teljesítményű egységek hatásfoka 52% körül, a legnagyobbaké pedig </w:t>
      </w:r>
      <w:r w:rsidR="00A96FAB">
        <w:t xml:space="preserve">meghaladja a </w:t>
      </w:r>
      <w:r>
        <w:t>60%</w:t>
      </w:r>
      <w:r w:rsidR="00A96FAB">
        <w:t>-</w:t>
      </w:r>
      <w:proofErr w:type="spellStart"/>
      <w:r w:rsidR="00A96FAB">
        <w:t>ot</w:t>
      </w:r>
      <w:proofErr w:type="spellEnd"/>
      <w:r>
        <w:t xml:space="preserve">. A hidegindításra perces </w:t>
      </w:r>
      <w:proofErr w:type="gramStart"/>
      <w:r>
        <w:t>intervallumban</w:t>
      </w:r>
      <w:proofErr w:type="gramEnd"/>
      <w:r>
        <w:t xml:space="preserve"> van lehetőség, a készenléti idő pedig másodperces. Üzemi nyomása 1 bar és 30 bar között, üzemi hőmérséklete pedig 20°C és 100°C között változhat. </w:t>
      </w:r>
      <w:proofErr w:type="gramStart"/>
      <w:r>
        <w:t xml:space="preserve">Fajlagos költsége 2000 </w:t>
      </w:r>
      <w:r>
        <w:rPr>
          <w:rFonts w:cstheme="minorHAnsi"/>
        </w:rPr>
        <w:t>€</w:t>
      </w:r>
      <w:r>
        <w:t>/kW körül mozog, élettartama rövidebb</w:t>
      </w:r>
      <w:r w:rsidR="00251FFD">
        <w:t xml:space="preserve"> mint a lúgos technológiáé</w:t>
      </w:r>
      <w:r>
        <w:t xml:space="preserve">, </w:t>
      </w:r>
      <w:r w:rsidR="00251FFD">
        <w:t>5</w:t>
      </w:r>
      <w:r>
        <w:t xml:space="preserve"> </w:t>
      </w:r>
      <w:r>
        <w:rPr>
          <w:rFonts w:cstheme="minorHAnsi"/>
        </w:rPr>
        <w:t>-</w:t>
      </w:r>
      <w:r>
        <w:t xml:space="preserve"> </w:t>
      </w:r>
      <w:r w:rsidR="00251FFD">
        <w:t>2</w:t>
      </w:r>
      <w:r>
        <w:t>0 év között változ</w:t>
      </w:r>
      <w:r w:rsidR="00251FFD">
        <w:t>ik</w:t>
      </w:r>
      <w:proofErr w:type="gramEnd"/>
      <w:r w:rsidR="002B2A4C">
        <w:t xml:space="preserve"> </w:t>
      </w:r>
      <w:r w:rsidR="002B2A4C">
        <w:fldChar w:fldCharType="begin" w:fldLock="1"/>
      </w:r>
      <w:r w:rsidR="009974CC">
        <w:instrText>ADDIN CSL_CITATION {"citationItems":[{"id":"ITEM-1","itemData":{"DOI":"10.1016/j.rser.2018.04.072","ISSN":"18790690","abstract":"The energy sector is undergoing substantial changes in order to promote better efficiency, increase the use of renewable energy, reduce emissions and effectively deploy technologies to trade off costs and benefits One emerging solution is the application of the Power-to-Gas technology, which can be used for different purposes. In recent years, Power-to-Gas has been studied to understand the role it could play in the electrical system. This paper has the aims of analysing the existing literature about the Power-to-Gas technology in detail, by considering some solutions that have a direct impact on the electrical system (in particular electrolyser and CO2 production) and applications in the different sectors of the electricity value chain (i.e., generation, transmission, distribution and utilisation). This paper sets out the conceptual aspects that are necessary to include Power-to-Gas facilities in a more comprehensive analysis framework of the operation of the electrical system in various sectors. Some perspectives concerning new Power-to-Gas applications are also presented for each sector, and some promising aspects that are expected to play a relevant role in the future technical and economic evolution of electrical systems are discussed.","author":[{"dropping-particle":"","family":"Mazza","given":"Andrea","non-dropping-particle":"","parse-names":false,"suffix":""},{"dropping-particle":"","family":"Bompard","given":"Ettore","non-dropping-particle":"","parse-names":false,"suffix":""},{"dropping-particle":"","family":"Chicco","given":"Gianfranco","non-dropping-particle":"","parse-names":false,"suffix":""}],"container-title":"Renewable and Sustainable Energy Reviews","id":"ITEM-1","issue":"April","issued":{"date-parts":[["2018"]]},"page":"794-806","publisher":"Elsevier Ltd","title":"Applications of power to gas technologies in emerging electrical systems","type":"article-journal","volume":"92"},"uris":["http://www.mendeley.com/documents/?uuid=ca49bf14-5d12-43e3-a5c9-619008d720d1"]}],"mendeley":{"formattedCitation":"[14]","plainTextFormattedCitation":"[14]","previouslyFormattedCitation":"[13]"},"properties":{"noteIndex":0},"schema":"https://github.com/citation-style-language/schema/raw/master/csl-citation.json"}</w:instrText>
      </w:r>
      <w:r w:rsidR="002B2A4C">
        <w:fldChar w:fldCharType="separate"/>
      </w:r>
      <w:r w:rsidR="009974CC" w:rsidRPr="009974CC">
        <w:rPr>
          <w:noProof/>
        </w:rPr>
        <w:t>[14]</w:t>
      </w:r>
      <w:r w:rsidR="002B2A4C">
        <w:fldChar w:fldCharType="end"/>
      </w:r>
      <w:r w:rsidR="002B2A4C">
        <w:t>,</w:t>
      </w:r>
      <w:r w:rsidR="002B2A4C" w:rsidRPr="002B2A4C">
        <w:t xml:space="preserve"> </w:t>
      </w:r>
      <w:r w:rsidR="002B2A4C">
        <w:fldChar w:fldCharType="begin" w:fldLock="1"/>
      </w:r>
      <w:r w:rsidR="009974CC">
        <w:instrText>ADDIN CSL_CITATION {"citationItems":[{"id":"ITEM-1","itemData":{"DOI":"10.1016/j.ijhydene.2013.01.151","ISSN":"03603199","abstract":"Hydrogen is often considered the best means by which to store energy coming from renewable and intermittent power sources. With the growing capacity of localized renewable energy sources surpassing the gigawatt range, a storage system of equal magnitude is required. PEM electrolysis provides a sustainable solution for the production of hydrogen, and is well suited to couple with energy sources such as wind and solar. However, due to low demand in electrolytic hydrogen in the last century, little research has been done on PEM electrolysis with many challenges still unexplored. The ever increasing desire for green energy has rekindled the interest on PEM electrolysis, thus the compilation and recovery of past research and developments is important and necessary. In this review, PEM water electrolysis is comprehensively highlighted and discussed. The challenges new and old related to electrocatalysts, solid electrolyte, current collectors, separator plates and modeling efforts will also be addressed. The main message is to clearly set the state-of-the-art for the PEM electrolysis technology, be insightful of the research that is already done and the challenges that still exist. This information will provide several future research directions and a road map in order to aid scientists in establishing PEM electrolysis as a commercially viable hydrogen production solution. Copyright © 2013, Hydrogen Energy Publications, LLC. Published by Elsevier Ltd. All rights reserved.","author":[{"dropping-particle":"","family":"Carmo","given":"Marcelo","non-dropping-particle":"","parse-names":false,"suffix":""},{"dropping-particle":"","family":"Fritz","given":"David L.","non-dropping-particle":"","parse-names":false,"suffix":""},{"dropping-particle":"","family":"Mergel","given":"Jürgen","non-dropping-particle":"","parse-names":false,"suffix":""},{"dropping-particle":"","family":"Stolten","given":"Detlef","non-dropping-particle":"","parse-names":false,"suffix":""}],"container-title":"International Journal of Hydrogen Energy","id":"ITEM-1","issue":"12","issued":{"date-parts":[["2013"]]},"page":"4901-4934","title":"A comprehensive review on PEM water electrolysis","type":"article-journal","volume":"38"},"uris":["http://www.mendeley.com/documents/?uuid=51098476-71e4-47dd-b402-f438f663c0ed"]}],"mendeley":{"formattedCitation":"[16]","plainTextFormattedCitation":"[16]","previouslyFormattedCitation":"[15]"},"properties":{"noteIndex":0},"schema":"https://github.com/citation-style-language/schema/raw/master/csl-citation.json"}</w:instrText>
      </w:r>
      <w:r w:rsidR="002B2A4C">
        <w:fldChar w:fldCharType="separate"/>
      </w:r>
      <w:r w:rsidR="009974CC" w:rsidRPr="009974CC">
        <w:rPr>
          <w:noProof/>
        </w:rPr>
        <w:t>[16]</w:t>
      </w:r>
      <w:r w:rsidR="002B2A4C">
        <w:fldChar w:fldCharType="end"/>
      </w:r>
      <w:r>
        <w:t>.</w:t>
      </w:r>
    </w:p>
    <w:p w:rsidR="00A6713E" w:rsidRPr="00DF0678" w:rsidRDefault="00871876" w:rsidP="004677BC">
      <w:pPr>
        <w:pStyle w:val="Heading3"/>
      </w:pPr>
      <w:r w:rsidRPr="00DF0678">
        <w:t>Szilárd-oxidos elektrolízis (SOEC)</w:t>
      </w:r>
    </w:p>
    <w:p w:rsidR="00871876" w:rsidRDefault="0069759C" w:rsidP="00871876">
      <w:pPr>
        <w:jc w:val="both"/>
      </w:pPr>
      <w:r>
        <w:t xml:space="preserve">A magas hőmérsékletű elektrolízissel kapcsolatos kutatások 1968-ban indultak a General </w:t>
      </w:r>
      <w:proofErr w:type="spellStart"/>
      <w:r>
        <w:t>Electric</w:t>
      </w:r>
      <w:proofErr w:type="spellEnd"/>
      <w:r>
        <w:t xml:space="preserve">, két évvel később pedig a </w:t>
      </w:r>
      <w:proofErr w:type="spellStart"/>
      <w:r>
        <w:t>Brookhaven</w:t>
      </w:r>
      <w:proofErr w:type="spellEnd"/>
      <w:r>
        <w:t xml:space="preserve"> National </w:t>
      </w:r>
      <w:proofErr w:type="spellStart"/>
      <w:r>
        <w:t>Laboratory</w:t>
      </w:r>
      <w:proofErr w:type="spellEnd"/>
      <w:r>
        <w:t xml:space="preserve"> működésével. </w:t>
      </w:r>
      <w:proofErr w:type="gramStart"/>
      <w:r>
        <w:t xml:space="preserve">Németországban a </w:t>
      </w:r>
      <w:proofErr w:type="spellStart"/>
      <w:r w:rsidRPr="0069759C">
        <w:t>Dornier</w:t>
      </w:r>
      <w:proofErr w:type="spellEnd"/>
      <w:r w:rsidRPr="0069759C">
        <w:t xml:space="preserve"> System GmbH </w:t>
      </w:r>
      <w:r>
        <w:t xml:space="preserve">végzett ilyen irányú kutatásokat 1975 és 1987 között a </w:t>
      </w:r>
      <w:r w:rsidRPr="0069759C">
        <w:t>HOT ELLY (</w:t>
      </w:r>
      <w:proofErr w:type="spellStart"/>
      <w:r w:rsidRPr="0069759C">
        <w:t>High</w:t>
      </w:r>
      <w:proofErr w:type="spellEnd"/>
      <w:r w:rsidRPr="0069759C">
        <w:t xml:space="preserve"> </w:t>
      </w:r>
      <w:proofErr w:type="spellStart"/>
      <w:r w:rsidRPr="0069759C">
        <w:t>Operating</w:t>
      </w:r>
      <w:proofErr w:type="spellEnd"/>
      <w:r w:rsidRPr="0069759C">
        <w:t xml:space="preserve"> </w:t>
      </w:r>
      <w:proofErr w:type="spellStart"/>
      <w:r w:rsidRPr="0069759C">
        <w:t>Temperature</w:t>
      </w:r>
      <w:proofErr w:type="spellEnd"/>
      <w:r w:rsidRPr="0069759C">
        <w:t xml:space="preserve"> </w:t>
      </w:r>
      <w:proofErr w:type="spellStart"/>
      <w:r w:rsidRPr="0069759C">
        <w:t>ELectroLYsis</w:t>
      </w:r>
      <w:proofErr w:type="spellEnd"/>
      <w:r w:rsidRPr="0069759C">
        <w:t>)</w:t>
      </w:r>
      <w:r>
        <w:t xml:space="preserve"> projekt keretében</w:t>
      </w:r>
      <w:proofErr w:type="gramEnd"/>
      <w:r w:rsidR="00CE6EF3">
        <w:t xml:space="preserve"> </w:t>
      </w:r>
      <w:r w:rsidR="00CE6EF3">
        <w:fldChar w:fldCharType="begin" w:fldLock="1"/>
      </w:r>
      <w:r w:rsidR="009974CC">
        <w:instrText>ADDIN CSL_CITATION {"citationItems":[{"id":"ITEM-1","itemData":{"DOI":"10.1016/0360-3199(85)90181-8","ISSN":"03603199","abstract":"Electrolysis of water vapor using solid-oxide electrolyte cells has been demonstrated to be a very efficient method of hydrogen production from water. As a result of an eight-year development program in Germany, the technology of vapor electrolysis cells and their integration into larger molecules has reached an advanced status: Single cells have been operated during long-term tests with current densities of 0.3 A cm-2 and 100% Faraday efficiency at a voltage of only 1.07 V [corresponding to a specific electrical energy consumption of 2.57 kWh Nm-3 (H2)]. With electrolysis tubes of series-connected cells an enrichment of hydrogen in the vapor stream of up to 85% could be demonstrated without major concentration polarization losses. Concepts for integrated modular electrolysis units made up of serial- and parallel-connected tubular cells have been developed and successfully tested. A pre-prototype unit of 3.5 kW hydrogen output power is under development. The high efficiency of this hydrogen production process will allow an extension of the use of electrolytic hydrogen in the near future. The reasons for such a development will be explained and an example for a modified synfuel process will be given. © 1985.","author":[{"dropping-particle":"","family":"Dönitz","given":"W.","non-dropping-particle":"","parse-names":false,"suffix":""},{"dropping-particle":"","family":"Erdle","given":"E.","non-dropping-particle":"","parse-names":false,"suffix":""}],"container-title":"International Journal of Hydrogen Energy","id":"ITEM-1","issue":"5","issued":{"date-parts":[["1985"]]},"page":"291-295","title":"High-temperature electrolysis of water vapor-status of development and perspectives for application","type":"article-journal","volume":"10"},"uris":["http://www.mendeley.com/documents/?uuid=d80556b0-40bb-4e22-aa98-080328e81283"]}],"mendeley":{"formattedCitation":"[17]","plainTextFormattedCitation":"[17]","previouslyFormattedCitation":"[16]"},"properties":{"noteIndex":0},"schema":"https://github.com/citation-style-language/schema/raw/master/csl-citation.json"}</w:instrText>
      </w:r>
      <w:r w:rsidR="00CE6EF3">
        <w:fldChar w:fldCharType="separate"/>
      </w:r>
      <w:r w:rsidR="009974CC" w:rsidRPr="009974CC">
        <w:rPr>
          <w:noProof/>
        </w:rPr>
        <w:t>[17]</w:t>
      </w:r>
      <w:r w:rsidR="00CE6EF3">
        <w:fldChar w:fldCharType="end"/>
      </w:r>
      <w:r>
        <w:t>.</w:t>
      </w:r>
    </w:p>
    <w:p w:rsidR="00375D41" w:rsidRDefault="00DF0678" w:rsidP="00375D41">
      <w:pPr>
        <w:jc w:val="both"/>
      </w:pPr>
      <w:r>
        <w:t xml:space="preserve">Az eljárás az utóbbi években a szilárd-oxidos </w:t>
      </w:r>
      <w:r w:rsidRPr="00DF0678">
        <w:t>üzemanyagcellá</w:t>
      </w:r>
      <w:r>
        <w:t xml:space="preserve">k területén elért eredmények miatt került az érdeklődés középpontjába. </w:t>
      </w:r>
      <w:r w:rsidR="00AC2FEF">
        <w:t xml:space="preserve">SOEL magas, 700-900°C közötti hőmérsékleten üzemel, amivel </w:t>
      </w:r>
      <w:r w:rsidR="004A69F6">
        <w:t xml:space="preserve">mind az </w:t>
      </w:r>
      <w:r w:rsidR="004A69F6" w:rsidRPr="004A69F6">
        <w:t>AEL</w:t>
      </w:r>
      <w:r w:rsidR="004A69F6">
        <w:t xml:space="preserve">, mind pedig a PEM eljárásoknál </w:t>
      </w:r>
      <w:r w:rsidR="00AC2FEF">
        <w:t xml:space="preserve">magasabb </w:t>
      </w:r>
      <w:r w:rsidR="004A69F6">
        <w:t>hatásfokot tudnak elérni</w:t>
      </w:r>
      <w:r w:rsidR="00375D41">
        <w:t>, azonban a technológiát anyag</w:t>
      </w:r>
      <w:proofErr w:type="gramStart"/>
      <w:r w:rsidR="00375D41">
        <w:t>stabilitási</w:t>
      </w:r>
      <w:proofErr w:type="gramEnd"/>
      <w:r w:rsidR="00375D41">
        <w:t xml:space="preserve"> kihívások jellemzik</w:t>
      </w:r>
      <w:r w:rsidR="004A69F6">
        <w:t>.</w:t>
      </w:r>
      <w:r w:rsidR="00375D41">
        <w:t xml:space="preserve"> Az elektródokon az alábbi reakciók játszódnak le:</w:t>
      </w:r>
    </w:p>
    <w:p w:rsidR="00375D41" w:rsidRDefault="006B407F" w:rsidP="00375D41">
      <w:pPr>
        <w:jc w:val="center"/>
        <w:rPr>
          <w:rFonts w:eastAsiaTheme="minorEastAsia"/>
        </w:rPr>
      </w:p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Sup>
          <m:sSupPr>
            <m:ctrlPr>
              <w:rPr>
                <w:rFonts w:ascii="Cambria Math" w:hAnsi="Cambria Math"/>
                <w:i/>
              </w:rPr>
            </m:ctrlPr>
          </m:sSupPr>
          <m:e>
            <m:r>
              <w:rPr>
                <w:rFonts w:ascii="Cambria Math" w:hAnsi="Cambria Math"/>
              </w:rPr>
              <m:t>2e</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O</m:t>
            </m:r>
          </m:e>
          <m:sup>
            <m:r>
              <w:rPr>
                <w:rFonts w:ascii="Cambria Math" w:hAnsi="Cambria Math"/>
              </w:rPr>
              <m:t>2-</m:t>
            </m:r>
          </m:sup>
        </m:sSup>
      </m:oMath>
      <w:r w:rsidR="00375D41">
        <w:rPr>
          <w:rFonts w:eastAsiaTheme="minorEastAsia"/>
        </w:rPr>
        <w:tab/>
      </w:r>
      <w:proofErr w:type="gramStart"/>
      <w:r w:rsidR="00375D41">
        <w:rPr>
          <w:rFonts w:eastAsiaTheme="minorEastAsia"/>
        </w:rPr>
        <w:t>katód</w:t>
      </w:r>
      <w:proofErr w:type="gramEnd"/>
      <w:r w:rsidR="00375D41">
        <w:rPr>
          <w:rFonts w:eastAsiaTheme="minorEastAsia"/>
        </w:rPr>
        <w:t>;</w:t>
      </w:r>
    </w:p>
    <w:p w:rsidR="00375D41" w:rsidRDefault="006B407F" w:rsidP="00375D41">
      <w:pPr>
        <w:jc w:val="center"/>
        <w:rPr>
          <w:rFonts w:eastAsiaTheme="minorEastAsia"/>
        </w:rPr>
      </w:pPr>
      <m:oMath>
        <m:sSup>
          <m:sSupPr>
            <m:ctrlPr>
              <w:rPr>
                <w:rFonts w:ascii="Cambria Math" w:hAnsi="Cambria Math"/>
                <w:i/>
              </w:rPr>
            </m:ctrlPr>
          </m:sSupPr>
          <m:e>
            <m:r>
              <w:rPr>
                <w:rFonts w:ascii="Cambria Math" w:hAnsi="Cambria Math"/>
              </w:rPr>
              <m:t>O</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2e</m:t>
            </m:r>
          </m:e>
          <m:sup>
            <m:r>
              <w:rPr>
                <w:rFonts w:ascii="Cambria Math" w:hAnsi="Cambria Math"/>
              </w:rPr>
              <m:t>-</m:t>
            </m:r>
          </m:sup>
        </m:sSup>
      </m:oMath>
      <w:r w:rsidR="00375D41">
        <w:rPr>
          <w:rFonts w:eastAsiaTheme="minorEastAsia"/>
        </w:rPr>
        <w:tab/>
      </w:r>
      <w:proofErr w:type="gramStart"/>
      <w:r w:rsidR="00375D41">
        <w:rPr>
          <w:rFonts w:eastAsiaTheme="minorEastAsia"/>
        </w:rPr>
        <w:t>anód</w:t>
      </w:r>
      <w:proofErr w:type="gramEnd"/>
      <w:r w:rsidR="00375D41">
        <w:rPr>
          <w:rFonts w:eastAsiaTheme="minorEastAsia"/>
        </w:rPr>
        <w:t>.</w:t>
      </w:r>
    </w:p>
    <w:p w:rsidR="009D1A61" w:rsidRDefault="00D4272C" w:rsidP="00791ADE">
      <w:pPr>
        <w:jc w:val="both"/>
      </w:pPr>
      <w:r>
        <w:t>A SOEC egy érdekes jellemzője, hogy alkalmas a CO</w:t>
      </w:r>
      <w:r w:rsidRPr="00E74752">
        <w:rPr>
          <w:vertAlign w:val="subscript"/>
        </w:rPr>
        <w:t>2</w:t>
      </w:r>
      <w:r>
        <w:t xml:space="preserve"> és vízgőz együttes elektrolízi</w:t>
      </w:r>
      <w:r w:rsidR="00D03432">
        <w:t>s</w:t>
      </w:r>
      <w:r>
        <w:t>ére (</w:t>
      </w:r>
      <w:proofErr w:type="spellStart"/>
      <w:r>
        <w:t>ko</w:t>
      </w:r>
      <w:proofErr w:type="spellEnd"/>
      <w:r>
        <w:t xml:space="preserve">-elektrolízis), amely során </w:t>
      </w:r>
      <w:r w:rsidR="00D03432">
        <w:t>H</w:t>
      </w:r>
      <w:r w:rsidR="00D03432" w:rsidRPr="00D03432">
        <w:rPr>
          <w:vertAlign w:val="subscript"/>
        </w:rPr>
        <w:t>2</w:t>
      </w:r>
      <w:r w:rsidR="00D03432">
        <w:t xml:space="preserve"> és CO tartalmú </w:t>
      </w:r>
      <w:r>
        <w:t>szintézisgáz állítható elő.</w:t>
      </w:r>
      <w:r w:rsidR="00E74752">
        <w:t xml:space="preserve"> </w:t>
      </w:r>
      <w:proofErr w:type="gramStart"/>
      <w:r w:rsidR="00DC6BA8">
        <w:t xml:space="preserve">Tovább növeli a technológia jövőbeni </w:t>
      </w:r>
      <w:r w:rsidR="00057B6D">
        <w:t xml:space="preserve">alkalmazásának </w:t>
      </w:r>
      <w:r w:rsidR="00DC6BA8">
        <w:t xml:space="preserve">lehetőségét </w:t>
      </w:r>
      <w:r w:rsidR="00057B6D">
        <w:t xml:space="preserve">a SOEC </w:t>
      </w:r>
      <w:proofErr w:type="spellStart"/>
      <w:r w:rsidR="00057B6D">
        <w:t>elektrolizáló</w:t>
      </w:r>
      <w:proofErr w:type="spellEnd"/>
      <w:r w:rsidR="00057B6D">
        <w:t xml:space="preserve"> cellaként, valamint </w:t>
      </w:r>
      <w:r w:rsidR="00DC6BA8" w:rsidRPr="00DC6BA8">
        <w:t>üzemanyagcella</w:t>
      </w:r>
      <w:r w:rsidR="00057B6D">
        <w:t xml:space="preserve">ként való </w:t>
      </w:r>
      <w:r w:rsidR="00DC6BA8" w:rsidRPr="00DC6BA8">
        <w:t>rugalmas működ</w:t>
      </w:r>
      <w:r w:rsidR="00057B6D">
        <w:t>tet</w:t>
      </w:r>
      <w:r w:rsidR="00DC6BA8" w:rsidRPr="00DC6BA8">
        <w:t>és</w:t>
      </w:r>
      <w:r w:rsidR="00057B6D">
        <w:t>ének</w:t>
      </w:r>
      <w:r w:rsidR="00DC6BA8" w:rsidRPr="00DC6BA8">
        <w:t xml:space="preserve"> lehetősége</w:t>
      </w:r>
      <w:r w:rsidR="00154ABB">
        <w:t xml:space="preserve"> is</w:t>
      </w:r>
      <w:proofErr w:type="gramEnd"/>
      <w:r w:rsidR="00CE6EF3">
        <w:t xml:space="preserve"> </w:t>
      </w:r>
      <w:r w:rsidR="00CE6EF3">
        <w:fldChar w:fldCharType="begin" w:fldLock="1"/>
      </w:r>
      <w:r w:rsidR="009974CC">
        <w:instrText>ADDIN CSL_CITATION {"citationItems":[{"id":"ITEM-1","itemData":{"DOI":"10.1016/j.ijhydene.2013.01.151","ISSN":"03603199","abstract":"Hydrogen is often considered the best means by which to store energy coming from renewable and intermittent power sources. With the growing capacity of localized renewable energy sources surpassing the gigawatt range, a storage system of equal magnitude is required. PEM electrolysis provides a sustainable solution for the production of hydrogen, and is well suited to couple with energy sources such as wind and solar. However, due to low demand in electrolytic hydrogen in the last century, little research has been done on PEM electrolysis with many challenges still unexplored. The ever increasing desire for green energy has rekindled the interest on PEM electrolysis, thus the compilation and recovery of past research and developments is important and necessary. In this review, PEM water electrolysis is comprehensively highlighted and discussed. The challenges new and old related to electrocatalysts, solid electrolyte, current collectors, separator plates and modeling efforts will also be addressed. The main message is to clearly set the state-of-the-art for the PEM electrolysis technology, be insightful of the research that is already done and the challenges that still exist. This information will provide several future research directions and a road map in order to aid scientists in establishing PEM electrolysis as a commercially viable hydrogen production solution. Copyright © 2013, Hydrogen Energy Publications, LLC. Published by Elsevier Ltd. All rights reserved.","author":[{"dropping-particle":"","family":"Carmo","given":"Marcelo","non-dropping-particle":"","parse-names":false,"suffix":""},{"dropping-particle":"","family":"Fritz","given":"David L.","non-dropping-particle":"","parse-names":false,"suffix":""},{"dropping-particle":"","family":"Mergel","given":"Jürgen","non-dropping-particle":"","parse-names":false,"suffix":""},{"dropping-particle":"","family":"Stolten","given":"Detlef","non-dropping-particle":"","parse-names":false,"suffix":""}],"container-title":"International Journal of Hydrogen Energy","id":"ITEM-1","issue":"12","issued":{"date-parts":[["2013"]]},"page":"4901-4934","title":"A comprehensive review on PEM water electrolysis","type":"article-journal","volume":"38"},"uris":["http://www.mendeley.com/documents/?uuid=51098476-71e4-47dd-b402-f438f663c0ed"]}],"mendeley":{"formattedCitation":"[16]","plainTextFormattedCitation":"[16]","previouslyFormattedCitation":"[15]"},"properties":{"noteIndex":0},"schema":"https://github.com/citation-style-language/schema/raw/master/csl-citation.json"}</w:instrText>
      </w:r>
      <w:r w:rsidR="00CE6EF3">
        <w:fldChar w:fldCharType="separate"/>
      </w:r>
      <w:r w:rsidR="009974CC" w:rsidRPr="009974CC">
        <w:rPr>
          <w:noProof/>
        </w:rPr>
        <w:t>[16]</w:t>
      </w:r>
      <w:r w:rsidR="00CE6EF3">
        <w:fldChar w:fldCharType="end"/>
      </w:r>
      <w:r w:rsidR="00CE6EF3">
        <w:t xml:space="preserve">, </w:t>
      </w:r>
      <w:r w:rsidR="00CE6EF3">
        <w:fldChar w:fldCharType="begin" w:fldLock="1"/>
      </w:r>
      <w:r w:rsidR="009974CC">
        <w:instrText>ADDIN CSL_CITATION {"citationItems":[{"id":"ITEM-1","itemData":{"DOI":"10.1016/j.jpowsour.2011.12.019","ISSN":"03787753","abstract":"New and more efficient energy conversion systems are required in the near future, due in part to the increase in oil prices and demand and also due to global warming. Fuel cells and hybrid systems present a promising future but in order to meet the demand, high amounts of hydrogen will be required. Until now, probably the cleanest method of producing hydrogen has been water electrolysis. In this field, solid oxide electrolysis cells (SOEC) have attracted a great interest in the last few years, as they offer significant power and higher efficiencies compared to conventional low temperature electrolysers. Their applications, performances and material issues will be reviewed. © 2011 Elsevier B.V. All rights reserved.","author":[{"dropping-particle":"","family":"Laguna-Bercero","given":"M. A.","non-dropping-particle":"","parse-names":false,"suffix":""}],"container-title":"Journal of Power Sources","id":"ITEM-1","issued":{"date-parts":[["2012"]]},"page":"4-16","publisher":"Elsevier B.V.","title":"Recent advances in high temperature electrolysis using solid oxide fuel cells: A review","type":"article-journal","volume":"203"},"uris":["http://www.mendeley.com/documents/?uuid=5fad5a81-a129-4a0a-87b1-00a174d587ac"]}],"mendeley":{"formattedCitation":"[18]","plainTextFormattedCitation":"[18]","previouslyFormattedCitation":"[17]"},"properties":{"noteIndex":0},"schema":"https://github.com/citation-style-language/schema/raw/master/csl-citation.json"}</w:instrText>
      </w:r>
      <w:r w:rsidR="00CE6EF3">
        <w:fldChar w:fldCharType="separate"/>
      </w:r>
      <w:r w:rsidR="009974CC" w:rsidRPr="009974CC">
        <w:rPr>
          <w:noProof/>
        </w:rPr>
        <w:t>[18]</w:t>
      </w:r>
      <w:r w:rsidR="00CE6EF3">
        <w:fldChar w:fldCharType="end"/>
      </w:r>
      <w:r w:rsidR="00057B6D">
        <w:t>.</w:t>
      </w:r>
    </w:p>
    <w:p w:rsidR="009D1A61" w:rsidRDefault="009D1A61" w:rsidP="009D1A61">
      <w:pPr>
        <w:jc w:val="both"/>
      </w:pPr>
      <w:proofErr w:type="gramStart"/>
      <w:r>
        <w:t xml:space="preserve">SOEC még mindig kísérleti állapotban van, </w:t>
      </w:r>
      <w:r w:rsidR="00154ABB">
        <w:t>a</w:t>
      </w:r>
      <w:r>
        <w:t xml:space="preserve"> jelenleg futó, </w:t>
      </w:r>
      <w:r w:rsidRPr="008E7BAC">
        <w:t>laboratóriumi léptékű</w:t>
      </w:r>
      <w:r>
        <w:t xml:space="preserve"> kutatások elsősorban az elektrolízisnél alkalmazható új, alacsony költségű, de tartós anyagok irányába indult el</w:t>
      </w:r>
      <w:r w:rsidR="00D03432">
        <w:t>, mivel nem megoldott a magas hőmérsékleten alkalmazott</w:t>
      </w:r>
      <w:r w:rsidR="00D4272C" w:rsidRPr="00D4272C">
        <w:t xml:space="preserve"> </w:t>
      </w:r>
      <w:r w:rsidR="00D4272C">
        <w:t>kerámi</w:t>
      </w:r>
      <w:r w:rsidR="00D03432">
        <w:t>á</w:t>
      </w:r>
      <w:r w:rsidR="00D4272C">
        <w:t xml:space="preserve">k </w:t>
      </w:r>
      <w:r w:rsidR="00D03432">
        <w:t>tartós</w:t>
      </w:r>
      <w:r w:rsidR="00D4272C">
        <w:t xml:space="preserve"> üzem</w:t>
      </w:r>
      <w:r w:rsidR="00D03432">
        <w:t>vitele</w:t>
      </w:r>
      <w:proofErr w:type="gramEnd"/>
      <w:r w:rsidR="00CE6EF3">
        <w:t xml:space="preserve"> </w:t>
      </w:r>
      <w:r w:rsidR="00CE6EF3">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CE6EF3">
        <w:fldChar w:fldCharType="separate"/>
      </w:r>
      <w:r w:rsidR="009974CC" w:rsidRPr="009974CC">
        <w:rPr>
          <w:noProof/>
        </w:rPr>
        <w:t>[11]</w:t>
      </w:r>
      <w:r w:rsidR="00CE6EF3">
        <w:fldChar w:fldCharType="end"/>
      </w:r>
      <w:r w:rsidR="00D03432">
        <w:t>.</w:t>
      </w:r>
      <w:r w:rsidR="00154ABB">
        <w:t xml:space="preserve"> Ennek megfelelően a következő években még nem várható, hogy valós alternatívája legyen vízbontás tekintetében a korábban említett két technológiának, így ennek az eljárásnak a részletes</w:t>
      </w:r>
      <w:r w:rsidR="00F83D45">
        <w:t>ebb</w:t>
      </w:r>
      <w:r w:rsidR="00154ABB">
        <w:t xml:space="preserve"> bemutatására nem kerül sor.</w:t>
      </w:r>
    </w:p>
    <w:p w:rsidR="009D1A61" w:rsidRDefault="00F83D45" w:rsidP="004677BC">
      <w:pPr>
        <w:pStyle w:val="Heading2"/>
      </w:pPr>
      <w:proofErr w:type="spellStart"/>
      <w:r w:rsidRPr="00F83D45">
        <w:t>Metanizáció</w:t>
      </w:r>
      <w:proofErr w:type="spellEnd"/>
    </w:p>
    <w:p w:rsidR="00C30A4E" w:rsidRDefault="00C30A4E" w:rsidP="00C30A4E">
      <w:pPr>
        <w:jc w:val="both"/>
      </w:pPr>
      <w:proofErr w:type="gramStart"/>
      <w:r>
        <w:t>A P2M technológiában m</w:t>
      </w:r>
      <w:r w:rsidR="00F23F46">
        <w:t xml:space="preserve">egkülönböztethető biológiai és katalitikus </w:t>
      </w:r>
      <w:proofErr w:type="spellStart"/>
      <w:r w:rsidR="00F23F46">
        <w:t>metanizáció</w:t>
      </w:r>
      <w:proofErr w:type="spellEnd"/>
      <w:proofErr w:type="gramEnd"/>
      <w:r w:rsidR="002E7852">
        <w:t xml:space="preserve"> </w:t>
      </w:r>
      <w:r w:rsidR="002E7852">
        <w:fldChar w:fldCharType="begin" w:fldLock="1"/>
      </w:r>
      <w:r w:rsidR="009974CC">
        <w:instrText>ADDIN CSL_CITATION {"citationItems":[{"id":"ITEM-1","itemData":{"author":[{"dropping-particle":"","family":"Zavarkó Máté (Corvinus University of Budapest)","given":"","non-dropping-particle":"","parse-names":false,"suffix":""}],"id":"ITEM-1","issued":{"date-parts":[["2021"]]},"publisher":"Corvinus University of Budapest","title":"Energetikai diszruptív technológiafejlesztés által indukált változásvezetési modellek","type":"thesis"},"uris":["http://www.mendeley.com/documents/?uuid=79280afd-98b7-412d-b041-32bbb961390b"]}],"mendeley":{"formattedCitation":"[19]","plainTextFormattedCitation":"[19]","previouslyFormattedCitation":"[18]"},"properties":{"noteIndex":0},"schema":"https://github.com/citation-style-language/schema/raw/master/csl-citation.json"}</w:instrText>
      </w:r>
      <w:r w:rsidR="002E7852">
        <w:fldChar w:fldCharType="separate"/>
      </w:r>
      <w:r w:rsidR="009974CC" w:rsidRPr="009974CC">
        <w:rPr>
          <w:noProof/>
        </w:rPr>
        <w:t>[19]</w:t>
      </w:r>
      <w:r w:rsidR="002E7852">
        <w:fldChar w:fldCharType="end"/>
      </w:r>
      <w:r w:rsidR="00F23F46">
        <w:t xml:space="preserve">. </w:t>
      </w:r>
      <w:proofErr w:type="gramStart"/>
      <w:r w:rsidR="00A37D09">
        <w:t>Míg a</w:t>
      </w:r>
      <w:r>
        <w:t xml:space="preserve"> katalitikus folyamatokban </w:t>
      </w:r>
      <w:r w:rsidR="00DE37C7">
        <w:t xml:space="preserve">többségében </w:t>
      </w:r>
      <w:r>
        <w:t>nikkel és ruténium alapú katalizátorokat használnak</w:t>
      </w:r>
      <w:proofErr w:type="gramEnd"/>
      <w:r>
        <w:t xml:space="preserve"> </w:t>
      </w:r>
      <w:r w:rsidR="00A37D09">
        <w:fldChar w:fldCharType="begin" w:fldLock="1"/>
      </w:r>
      <w:r w:rsidR="009974CC">
        <w:instrText>ADDIN CSL_CITATION {"citationItems":[{"id":"ITEM-1","itemData":{"DOI":"10.1016/j.ijhydene.2015.01.123","ISSN":"03603199","abstract":"The issue of limited fossil fuels combined with the vast technological improvements in recent years has initiated numerous installations of renewable power production, particularly in form of photovoltaic cells and wind turbines. Since the volatile character of wind and solar radiation leads to a fluctuating power production, these renewables are incapable of providing reliable base load power. To enable the transition to a renewable energy system, large-scale energy storage is required to compensate for short-term and seasonal imbalances and to save temporary excess power. Due to the order of magnitude involved, this can best be achieved by converting electricity into hydrogen via electrolysis, a process that is also called \"power to gas\". Hereby, hydrogen can serve as a link combining the electricity, traffic and heating sector into one energy market. This paper presents the process chains of different power-to-gas paths, including different transformation technologies, which it evaluates with regard to their suitability for applications, the optional methanation step including the necessary production of CO2, distribution options and geological storage options as well as end-user applications. Finally, the use of hydrogen and methane in transportation and reconversion to power are compared from the economic point of view.","author":[{"dropping-particle":"","family":"Schiebahn","given":"Sebastian","non-dropping-particle":"","parse-names":false,"suffix":""},{"dropping-particle":"","family":"Grube","given":"Thomas","non-dropping-particle":"","parse-names":false,"suffix":""},{"dropping-particle":"","family":"Robinius","given":"Martin","non-dropping-particle":"","parse-names":false,"suffix":""},{"dropping-particle":"","family":"Tietze","given":"Vanessa","non-dropping-particle":"","parse-names":false,"suffix":""},{"dropping-particle":"","family":"Kumar","given":"Bhunesh","non-dropping-particle":"","parse-names":false,"suffix":""},{"dropping-particle":"","family":"Stolten","given":"Detlef","non-dropping-particle":"","parse-names":false,"suffix":""}],"container-title":"International Journal of Hydrogen Energy","id":"ITEM-1","issue":"12","issued":{"date-parts":[["2015"]]},"page":"4285-4294","publisher":"Elsevier Ltd","title":"Power to gas: Technological overview, systems analysis and economic assessment for a case study in Germany","type":"article-journal","volume":"40"},"uris":["http://www.mendeley.com/documents/?uuid=d5dded59-2e79-4ff9-8e34-3bc7c2cca01f"]}],"mendeley":{"formattedCitation":"[20]","plainTextFormattedCitation":"[20]","previouslyFormattedCitation":"[19]"},"properties":{"noteIndex":0},"schema":"https://github.com/citation-style-language/schema/raw/master/csl-citation.json"}</w:instrText>
      </w:r>
      <w:r w:rsidR="00A37D09">
        <w:fldChar w:fldCharType="separate"/>
      </w:r>
      <w:proofErr w:type="gramStart"/>
      <w:r w:rsidR="009974CC" w:rsidRPr="009974CC">
        <w:rPr>
          <w:noProof/>
        </w:rPr>
        <w:t>[20]</w:t>
      </w:r>
      <w:r w:rsidR="00A37D09">
        <w:fldChar w:fldCharType="end"/>
      </w:r>
      <w:r>
        <w:t xml:space="preserve">, </w:t>
      </w:r>
      <w:r w:rsidR="00A37D09">
        <w:t xml:space="preserve">és a folyamat magas, 250°C feletti hőmérsékleten megy végbe, addig </w:t>
      </w:r>
      <w:r>
        <w:t xml:space="preserve">a biológiai </w:t>
      </w:r>
      <w:proofErr w:type="spellStart"/>
      <w:r>
        <w:t>metanizáció</w:t>
      </w:r>
      <w:proofErr w:type="spellEnd"/>
      <w:r>
        <w:t xml:space="preserve"> során a </w:t>
      </w:r>
      <w:proofErr w:type="spellStart"/>
      <w:r>
        <w:t>metanogén</w:t>
      </w:r>
      <w:proofErr w:type="spellEnd"/>
      <w:r>
        <w:t xml:space="preserve"> mikroorganizmusok funkcionálnak </w:t>
      </w:r>
      <w:proofErr w:type="spellStart"/>
      <w:r>
        <w:t>biokatalizátorként</w:t>
      </w:r>
      <w:proofErr w:type="spellEnd"/>
      <w:proofErr w:type="gramEnd"/>
      <w:r>
        <w:t xml:space="preserve"> </w:t>
      </w:r>
      <w:r w:rsidR="00A37D09">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A37D09">
        <w:fldChar w:fldCharType="separate"/>
      </w:r>
      <w:r w:rsidR="009974CC" w:rsidRPr="009974CC">
        <w:rPr>
          <w:noProof/>
        </w:rPr>
        <w:t>[11]</w:t>
      </w:r>
      <w:r w:rsidR="00A37D09">
        <w:fldChar w:fldCharType="end"/>
      </w:r>
      <w:r w:rsidR="0039063D">
        <w:t xml:space="preserve">, </w:t>
      </w:r>
      <w:r w:rsidR="00A37D09">
        <w:t xml:space="preserve">a folyamatok </w:t>
      </w:r>
      <w:r w:rsidR="0039063D">
        <w:t xml:space="preserve">pedig </w:t>
      </w:r>
      <w:r w:rsidR="00A37D09">
        <w:t xml:space="preserve">– a </w:t>
      </w:r>
      <w:proofErr w:type="spellStart"/>
      <w:r w:rsidR="00A37D09">
        <w:t>termofil</w:t>
      </w:r>
      <w:proofErr w:type="spellEnd"/>
      <w:r w:rsidR="00A37D09">
        <w:t xml:space="preserve"> baktériumtörzseknek köszönhetően – jó</w:t>
      </w:r>
      <w:r w:rsidR="00C437AA">
        <w:t>val alacsonyabb, általában 70°C alatti</w:t>
      </w:r>
      <w:r w:rsidR="00C437AA" w:rsidRPr="00DB5960">
        <w:t xml:space="preserve"> hőmérsékleten</w:t>
      </w:r>
      <w:r w:rsidR="00C437AA">
        <w:t xml:space="preserve"> játszódnak le.</w:t>
      </w:r>
      <w:r w:rsidR="00A37D09">
        <w:t xml:space="preserve"> </w:t>
      </w:r>
      <w:proofErr w:type="gramStart"/>
      <w:r w:rsidR="00C437AA">
        <w:t xml:space="preserve">Ellentétben a katalitikus eljárással, ahol a </w:t>
      </w:r>
      <w:proofErr w:type="spellStart"/>
      <w:r w:rsidR="00C437AA">
        <w:t>metanizáció</w:t>
      </w:r>
      <w:proofErr w:type="spellEnd"/>
      <w:r w:rsidR="00C437AA">
        <w:t xml:space="preserve"> hatékonysága 70 és 85% között változik, addig a biológiai </w:t>
      </w:r>
      <w:proofErr w:type="spellStart"/>
      <w:r w:rsidR="00C437AA">
        <w:t>metanizációval</w:t>
      </w:r>
      <w:proofErr w:type="spellEnd"/>
      <w:r w:rsidR="00C437AA">
        <w:t xml:space="preserve"> 95% feletti hatékonyság is elérhető</w:t>
      </w:r>
      <w:proofErr w:type="gramEnd"/>
      <w:r w:rsidR="00C437AA">
        <w:t xml:space="preserve"> </w:t>
      </w:r>
      <w:r w:rsidR="000667F5">
        <w:fldChar w:fldCharType="begin" w:fldLock="1"/>
      </w:r>
      <w:r w:rsidR="009974CC">
        <w:instrText>ADDIN CSL_CITATION {"citationItems":[{"id":"ITEM-1","itemData":{"DOI":"10.1016/j.rser.2017.07.062","ISSN":"18790690","abstract":"A review of more than 60 studies (plus more than 65 studies on P2G) on power and energy models based on simulation and optimization was done. Based on these, for power systems with up to 95% renewables, the electricity storage size is found to be below 1.5% of the annual demand (in energy terms). While for 100% renewables energy systems (power, heat, mobility), it can remain below 6% of the annual energy demand. Combination of sectors and diverting the electricity to another sector can play a large role in reducing the storage size. From the potential alternatives to satisfy this demand, pumped hydro storage (PHS) global potential is not enough and new technologies with a higher energy density are needed. Hydrogen, with more than 250 times the energy density of PHS is a potential option to satisfy the storage need. However, changes needed in infrastructure to deal with high hydrogen content and the suitability of salt caverns for its storage can pose limitations for this technology. Power to Gas (P2G) arises as possible alternative overcoming both the facilities and the energy density issues. The global storage requirement would represent only 2% of the global annual natural gas production or 10% of the gas storage facilities (in energy equivalent). The more options considered to deal with intermittent sources, the lower the storage requirement will be. Therefore, future studies aiming to quantify storage needs should focus on the entire energy system including technology vectors (e.g. Power to Heat, Liquid, Gas, Chemicals) to avoid overestimating the amount of storage needed.","author":[{"dropping-particle":"","family":"Blanco","given":"Herib","non-dropping-particle":"","parse-names":false,"suffix":""},{"dropping-particle":"","family":"Faaij","given":"André","non-dropping-particle":"","parse-names":false,"suffix":""}],"container-title":"Renewable and Sustainable Energy Reviews","id":"ITEM-1","issue":"August 2017","issued":{"date-parts":[["2018"]]},"page":"1049-1086","publisher":"Elsevier Ltd","title":"A review at the role of storage in energy systems with a focus on Power to Gas and long-term storage","type":"article-journal","volume":"81"},"uris":["http://www.mendeley.com/documents/?uuid=af287118-05b8-4480-8686-a86a11d980de"]}],"mendeley":{"formattedCitation":"[21]","plainTextFormattedCitation":"[21]","previouslyFormattedCitation":"[20]"},"properties":{"noteIndex":0},"schema":"https://github.com/citation-style-language/schema/raw/master/csl-citation.json"}</w:instrText>
      </w:r>
      <w:r w:rsidR="000667F5">
        <w:fldChar w:fldCharType="separate"/>
      </w:r>
      <w:r w:rsidR="009974CC" w:rsidRPr="009974CC">
        <w:rPr>
          <w:noProof/>
        </w:rPr>
        <w:t>[21]</w:t>
      </w:r>
      <w:r w:rsidR="000667F5">
        <w:fldChar w:fldCharType="end"/>
      </w:r>
      <w:r w:rsidR="00C437AA">
        <w:t>.</w:t>
      </w:r>
    </w:p>
    <w:p w:rsidR="009C5361" w:rsidRPr="007043E4" w:rsidRDefault="007043E4" w:rsidP="004677BC">
      <w:pPr>
        <w:pStyle w:val="Heading3"/>
      </w:pPr>
      <w:r w:rsidRPr="007043E4">
        <w:t xml:space="preserve">Katalitikus </w:t>
      </w:r>
      <w:proofErr w:type="spellStart"/>
      <w:r w:rsidRPr="007043E4">
        <w:t>metanizáció</w:t>
      </w:r>
      <w:proofErr w:type="spellEnd"/>
    </w:p>
    <w:p w:rsidR="00DF20CE" w:rsidRDefault="00B27291" w:rsidP="00D172A8">
      <w:pPr>
        <w:jc w:val="both"/>
      </w:pPr>
      <w:r>
        <w:t xml:space="preserve">Katalitikus </w:t>
      </w:r>
      <w:proofErr w:type="spellStart"/>
      <w:r>
        <w:t>m</w:t>
      </w:r>
      <w:r w:rsidR="00C175A5" w:rsidRPr="00C175A5">
        <w:t>etanizáció</w:t>
      </w:r>
      <w:proofErr w:type="spellEnd"/>
      <w:r w:rsidR="00C175A5" w:rsidRPr="00C175A5">
        <w:t xml:space="preserve"> </w:t>
      </w:r>
      <w:r w:rsidR="00BF7084">
        <w:t xml:space="preserve">az az eljárás, amely során </w:t>
      </w:r>
      <w:r w:rsidR="00BF7084" w:rsidRPr="00C175A5">
        <w:t>metán (CH</w:t>
      </w:r>
      <w:r w:rsidR="00BF7084" w:rsidRPr="00BF7084">
        <w:rPr>
          <w:vertAlign w:val="subscript"/>
        </w:rPr>
        <w:t>4</w:t>
      </w:r>
      <w:r w:rsidR="00BF7084" w:rsidRPr="00C175A5">
        <w:t>)</w:t>
      </w:r>
      <w:r w:rsidR="00BF7084">
        <w:t xml:space="preserve"> kerül előállításra </w:t>
      </w:r>
      <w:r w:rsidR="00C175A5" w:rsidRPr="00C175A5">
        <w:t xml:space="preserve">szén-monoxid </w:t>
      </w:r>
      <w:r w:rsidR="00BF7084">
        <w:t>(CO) vagy</w:t>
      </w:r>
      <w:r w:rsidR="00C175A5" w:rsidRPr="00C175A5">
        <w:t xml:space="preserve"> szén-dioxid (</w:t>
      </w:r>
      <w:proofErr w:type="spellStart"/>
      <w:r w:rsidR="00C175A5" w:rsidRPr="00C175A5">
        <w:t>CO</w:t>
      </w:r>
      <w:r w:rsidR="00C175A5" w:rsidRPr="00BF7084">
        <w:rPr>
          <w:vertAlign w:val="subscript"/>
        </w:rPr>
        <w:t>x</w:t>
      </w:r>
      <w:proofErr w:type="spellEnd"/>
      <w:r w:rsidR="00C175A5" w:rsidRPr="00C175A5">
        <w:t>) hidrogénezés</w:t>
      </w:r>
      <w:r w:rsidR="00BF7084">
        <w:t xml:space="preserve">ével. </w:t>
      </w:r>
      <w:proofErr w:type="gramStart"/>
      <w:r w:rsidR="00C175A5" w:rsidRPr="00C175A5">
        <w:t xml:space="preserve">A </w:t>
      </w:r>
      <w:proofErr w:type="spellStart"/>
      <w:r w:rsidR="00C175A5" w:rsidRPr="00C175A5">
        <w:t>CO</w:t>
      </w:r>
      <w:r w:rsidR="00C175A5" w:rsidRPr="008B2823">
        <w:rPr>
          <w:vertAlign w:val="subscript"/>
        </w:rPr>
        <w:t>x</w:t>
      </w:r>
      <w:proofErr w:type="spellEnd"/>
      <w:r w:rsidR="00C175A5" w:rsidRPr="00C175A5">
        <w:t xml:space="preserve"> </w:t>
      </w:r>
      <w:proofErr w:type="spellStart"/>
      <w:r w:rsidR="00C175A5" w:rsidRPr="00C175A5">
        <w:t>metan</w:t>
      </w:r>
      <w:r w:rsidR="00BF7084">
        <w:t>izációs</w:t>
      </w:r>
      <w:proofErr w:type="spellEnd"/>
      <w:r w:rsidR="00BF7084">
        <w:t xml:space="preserve"> </w:t>
      </w:r>
      <w:r w:rsidR="00C175A5" w:rsidRPr="00C175A5">
        <w:t xml:space="preserve">reakcióit először </w:t>
      </w:r>
      <w:proofErr w:type="spellStart"/>
      <w:r w:rsidR="00C175A5" w:rsidRPr="00C175A5">
        <w:t>Sabatier</w:t>
      </w:r>
      <w:proofErr w:type="spellEnd"/>
      <w:r w:rsidR="00C175A5" w:rsidRPr="00C175A5">
        <w:t xml:space="preserve"> és </w:t>
      </w:r>
      <w:proofErr w:type="spellStart"/>
      <w:r w:rsidR="00C175A5" w:rsidRPr="00C175A5">
        <w:t>Senderens</w:t>
      </w:r>
      <w:proofErr w:type="spellEnd"/>
      <w:r w:rsidR="00C175A5" w:rsidRPr="00C175A5">
        <w:t xml:space="preserve"> fedezte fel 1902-</w:t>
      </w:r>
      <w:r w:rsidR="00C175A5" w:rsidRPr="009C5361">
        <w:t>ben</w:t>
      </w:r>
      <w:proofErr w:type="gramEnd"/>
      <w:r w:rsidR="00F118A7" w:rsidRPr="009C5361">
        <w:t xml:space="preserve"> </w:t>
      </w:r>
      <w:r w:rsidR="00F118A7" w:rsidRPr="009C5361">
        <w:fldChar w:fldCharType="begin" w:fldLock="1"/>
      </w:r>
      <w:r w:rsidR="009974CC">
        <w:instrText>ADDIN CSL_CITATION {"citationItems":[{"id":"ITEM-1","itemData":{"DOI":"10.1016/j.fuel.2015.10.111","ISSN":"00162361","abstract":"Methane production from syngas goes back to more than 100 years of research and process development. Early developments (1970-1980) using syngas from coal gasification plants primarily focused on fixed-bed and fluidized-bed methanation technologies. Temperature control and catalyst deactivation, e.g. caused by fouling and mechanical stress, were key issues of investigation. Due to the debate about a sustainable energy supply, research on methanation has been intensified during the last ten years. Novel reactor developments comprise e.g. micro reactors and three-phase reactors aiming at an advanced temperature control and a reduced complexity of future methanation plants. The developments are supported by detailed modeling and simulation work to optimize the design and dynamic behavior. To accompany and facilitate new methanation developments, the present work is aimed at giving researchers a comprehensive overview of methanation research conducted during the last century. On one hand, application-orientated research focusing on reactor developments, reactor modeling, and pilot plant investigation is reviewed. On the other hand, fundamentals such as reaction mechanisms and catalyst deactivation are presented.","author":[{"dropping-particle":"","family":"Rönsch","given":"Stefan","non-dropping-particle":"","parse-names":false,"suffix":""},{"dropping-particle":"","family":"Schneider","given":"Jens","non-dropping-particle":"","parse-names":false,"suffix":""},{"dropping-particle":"","family":"Matthischke","given":"Steffi","non-dropping-particle":"","parse-names":false,"suffix":""},{"dropping-particle":"","family":"Schlüter","given":"Michael","non-dropping-particle":"","parse-names":false,"suffix":""},{"dropping-particle":"","family":"Götz","given":"Manuel","non-dropping-particle":"","parse-names":false,"suffix":""},{"dropping-particle":"","family":"Lefebvre","given":"Jonathan","non-dropping-particle":"","parse-names":false,"suffix":""},{"dropping-particle":"","family":"Prabhakaran","given":"Praseeth","non-dropping-particle":"","parse-names":false,"suffix":""},{"dropping-particle":"","family":"Bajohr","given":"Siegfried","non-dropping-particle":"","parse-names":false,"suffix":""}],"container-title":"Fuel","id":"ITEM-1","issued":{"date-parts":[["2016"]]},"page":"276-296","publisher":"Elsevier Ltd","title":"Review on methanation - From fundamentals to current projects","type":"article-journal","volume":"166"},"uris":["http://www.mendeley.com/documents/?uuid=09583411-b108-470b-9fc6-960ba9ecb2b6"]}],"mendeley":{"formattedCitation":"[22]","plainTextFormattedCitation":"[22]","previouslyFormattedCitation":"[21]"},"properties":{"noteIndex":0},"schema":"https://github.com/citation-style-language/schema/raw/master/csl-citation.json"}</w:instrText>
      </w:r>
      <w:r w:rsidR="00F118A7" w:rsidRPr="009C5361">
        <w:fldChar w:fldCharType="separate"/>
      </w:r>
      <w:r w:rsidR="009974CC" w:rsidRPr="009974CC">
        <w:rPr>
          <w:noProof/>
        </w:rPr>
        <w:t>[22]</w:t>
      </w:r>
      <w:r w:rsidR="00F118A7" w:rsidRPr="009C5361">
        <w:fldChar w:fldCharType="end"/>
      </w:r>
      <w:r w:rsidR="00C175A5" w:rsidRPr="009C5361">
        <w:t>.</w:t>
      </w:r>
      <w:r w:rsidR="00BF7084" w:rsidRPr="009C5361">
        <w:t xml:space="preserve"> A</w:t>
      </w:r>
      <w:r w:rsidR="00BF7084">
        <w:t xml:space="preserve"> két exoterm reakciót az alábbi egyenletek írják le</w:t>
      </w:r>
      <w:r w:rsidR="00DB5960">
        <w:t xml:space="preserve"> 298K hőmérsékleten</w:t>
      </w:r>
      <w:r w:rsidR="00BF7084">
        <w:t>:</w:t>
      </w:r>
    </w:p>
    <w:p w:rsidR="00C175A5" w:rsidRDefault="00C175A5" w:rsidP="00C175A5">
      <w:pPr>
        <w:jc w:val="center"/>
        <w:rPr>
          <w:rFonts w:eastAsiaTheme="minorEastAsia"/>
        </w:rPr>
      </w:pPr>
      <m:oMath>
        <m:r>
          <w:rPr>
            <w:rFonts w:ascii="Cambria Math" w:hAnsi="Cambria Math"/>
          </w:rPr>
          <w:lastRenderedPageBreak/>
          <m:t>CO+3</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O-206 kJ/mol</m:t>
        </m:r>
      </m:oMath>
      <w:r>
        <w:rPr>
          <w:rFonts w:eastAsiaTheme="minorEastAsia"/>
        </w:rPr>
        <w:t>;</w:t>
      </w:r>
    </w:p>
    <w:p w:rsidR="00C175A5" w:rsidRDefault="00C175A5" w:rsidP="00C175A5">
      <w:pPr>
        <w:jc w:val="center"/>
        <w:rPr>
          <w:rFonts w:eastAsiaTheme="minorEastAsia"/>
        </w:rPr>
      </w:pP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O-164 kJ/mol</m:t>
        </m:r>
      </m:oMath>
      <w:r>
        <w:rPr>
          <w:rFonts w:eastAsiaTheme="minorEastAsia"/>
        </w:rPr>
        <w:t>.</w:t>
      </w:r>
    </w:p>
    <w:p w:rsidR="00DB5960" w:rsidRDefault="000B7CCD" w:rsidP="00657B5B">
      <w:pPr>
        <w:jc w:val="both"/>
      </w:pPr>
      <w:r>
        <w:t xml:space="preserve">A </w:t>
      </w:r>
      <w:r w:rsidRPr="000B7CCD">
        <w:t xml:space="preserve">reakciót a </w:t>
      </w:r>
      <w:proofErr w:type="gramStart"/>
      <w:r w:rsidRPr="000B7CCD">
        <w:t>reagáló</w:t>
      </w:r>
      <w:proofErr w:type="gramEnd"/>
      <w:r w:rsidRPr="000B7CCD">
        <w:t xml:space="preserve"> gázok jelentős térfogatcsökkenése </w:t>
      </w:r>
      <w:proofErr w:type="spellStart"/>
      <w:r w:rsidRPr="000B7CCD">
        <w:t>jellemzi</w:t>
      </w:r>
      <w:proofErr w:type="spellEnd"/>
      <w:r w:rsidRPr="000B7CCD">
        <w:t>, amely a CO-</w:t>
      </w:r>
      <w:proofErr w:type="spellStart"/>
      <w:r w:rsidRPr="000B7CCD">
        <w:t>metanizáció</w:t>
      </w:r>
      <w:proofErr w:type="spellEnd"/>
      <w:r w:rsidRPr="000B7CCD">
        <w:t xml:space="preserve"> esetében 50%, m</w:t>
      </w:r>
      <w:r>
        <w:t>íg CO</w:t>
      </w:r>
      <w:r w:rsidRPr="000B7CCD">
        <w:rPr>
          <w:vertAlign w:val="subscript"/>
        </w:rPr>
        <w:t>2</w:t>
      </w:r>
      <w:r>
        <w:t xml:space="preserve">-metanizáció esetében </w:t>
      </w:r>
      <w:r w:rsidRPr="000B7CCD">
        <w:t>40%</w:t>
      </w:r>
      <w:r>
        <w:t xml:space="preserve"> körüli</w:t>
      </w:r>
      <w:r w:rsidRPr="000B7CCD">
        <w:t>.</w:t>
      </w:r>
      <w:r w:rsidR="00657B5B">
        <w:t xml:space="preserve"> </w:t>
      </w:r>
      <w:r w:rsidR="00657B5B" w:rsidRPr="00657B5B">
        <w:t>Mindkét reakció egyensúlyát befolyásolja a nyomás és a hőmérséklet.</w:t>
      </w:r>
      <w:r w:rsidR="00657B5B">
        <w:t xml:space="preserve"> T</w:t>
      </w:r>
      <w:r w:rsidR="00657B5B" w:rsidRPr="00657B5B">
        <w:t>ermodinamikai egyensúlyban a magas nyomás kedvez</w:t>
      </w:r>
      <w:r w:rsidR="00657B5B">
        <w:t xml:space="preserve">, míg a </w:t>
      </w:r>
      <w:r w:rsidR="00657B5B" w:rsidRPr="00657B5B">
        <w:t>magas hőmérséklet korlátozza a metánképződést.</w:t>
      </w:r>
    </w:p>
    <w:p w:rsidR="009A61A5" w:rsidRDefault="009A61A5" w:rsidP="00657B5B">
      <w:pPr>
        <w:jc w:val="both"/>
      </w:pPr>
      <w:r w:rsidRPr="009A61A5">
        <w:t>CO</w:t>
      </w:r>
      <w:r w:rsidRPr="009A61A5">
        <w:rPr>
          <w:vertAlign w:val="subscript"/>
        </w:rPr>
        <w:t>2</w:t>
      </w:r>
      <w:r w:rsidRPr="009A61A5">
        <w:t>-metanizáció a CO-</w:t>
      </w:r>
      <w:proofErr w:type="spellStart"/>
      <w:r w:rsidRPr="009A61A5">
        <w:t>metanizáció</w:t>
      </w:r>
      <w:proofErr w:type="spellEnd"/>
      <w:r w:rsidRPr="009A61A5">
        <w:t xml:space="preserve"> és a fordított víz-gáz</w:t>
      </w:r>
      <w:r>
        <w:t xml:space="preserve"> reakció lineáris kombinációja, amely minden esetben kíséri a CO-</w:t>
      </w:r>
      <w:proofErr w:type="spellStart"/>
      <w:r>
        <w:t>metanizációt</w:t>
      </w:r>
      <w:proofErr w:type="spellEnd"/>
      <w:r>
        <w:t>, ha</w:t>
      </w:r>
      <w:r w:rsidRPr="009A61A5">
        <w:t xml:space="preserve"> nikkelkatalizátorok </w:t>
      </w:r>
      <w:r>
        <w:t>használata mellett mennek végbe a reakciók:</w:t>
      </w:r>
    </w:p>
    <w:p w:rsidR="009A61A5" w:rsidRDefault="009A61A5" w:rsidP="00657B5B">
      <w:pPr>
        <w:jc w:val="both"/>
      </w:pPr>
      <m:oMathPara>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O+44 kJ/mol</m:t>
          </m:r>
        </m:oMath>
      </m:oMathPara>
    </w:p>
    <w:p w:rsidR="009A61A5" w:rsidRPr="00657B5B" w:rsidRDefault="009A61A5" w:rsidP="00657B5B">
      <w:pPr>
        <w:jc w:val="both"/>
      </w:pPr>
      <w:r w:rsidRPr="009A61A5">
        <w:t>A CO2 átalakulása azonban gátolt, ha a CO-koncentráció meghalad egy bizonyos küszöbértéket.</w:t>
      </w:r>
    </w:p>
    <w:p w:rsidR="00925D25" w:rsidRPr="00925D25" w:rsidRDefault="00C37B1F" w:rsidP="00925D25">
      <w:pPr>
        <w:jc w:val="both"/>
      </w:pPr>
      <w:r>
        <w:t xml:space="preserve">Mivel a </w:t>
      </w:r>
      <w:proofErr w:type="spellStart"/>
      <w:r>
        <w:t>metanizáció</w:t>
      </w:r>
      <w:proofErr w:type="spellEnd"/>
      <w:r>
        <w:t xml:space="preserve"> erősen exoterm folyamat </w:t>
      </w:r>
      <w:r w:rsidR="00DE37C7">
        <w:t xml:space="preserve">– ahogy azt a </w:t>
      </w:r>
      <w:r>
        <w:t>reakcióegyenletek</w:t>
      </w:r>
      <w:r w:rsidR="00DE37C7">
        <w:t xml:space="preserve"> is mutatják –</w:t>
      </w:r>
      <w:r>
        <w:t>, a reaktorban keletkező reakcióhő elvonására számos megoldás született</w:t>
      </w:r>
      <w:r w:rsidR="00461431">
        <w:t xml:space="preserve">, így pedig a </w:t>
      </w:r>
      <w:r w:rsidR="00925D25">
        <w:t>technológi</w:t>
      </w:r>
      <w:r w:rsidR="00461431">
        <w:t>a</w:t>
      </w:r>
      <w:r w:rsidR="00925D25" w:rsidRPr="00AA51DD">
        <w:t xml:space="preserve"> </w:t>
      </w:r>
      <w:r w:rsidR="00461431">
        <w:t>csoportosítható</w:t>
      </w:r>
      <w:r>
        <w:t xml:space="preserve"> </w:t>
      </w:r>
      <w:r w:rsidR="00925D25" w:rsidRPr="00AA51DD">
        <w:t>a</w:t>
      </w:r>
      <w:r w:rsidR="00925D25">
        <w:t xml:space="preserve"> folyamathoz alkalmazott</w:t>
      </w:r>
      <w:r w:rsidR="00925D25" w:rsidRPr="00AA51DD">
        <w:t xml:space="preserve"> reaktoro</w:t>
      </w:r>
      <w:r w:rsidR="00925D25">
        <w:t xml:space="preserve">k típusa alapján. Ezek a reaktorok </w:t>
      </w:r>
      <w:proofErr w:type="gramStart"/>
      <w:r w:rsidR="00925D25">
        <w:t>tipikusan</w:t>
      </w:r>
      <w:proofErr w:type="gramEnd"/>
      <w:r w:rsidR="00925D25">
        <w:t xml:space="preserve"> 200°C és 550°C között üzemelnek, 1 és 100 bar közötti tartományban. </w:t>
      </w:r>
      <w:proofErr w:type="gramStart"/>
      <w:r w:rsidR="00925D25">
        <w:t xml:space="preserve">A </w:t>
      </w:r>
      <w:proofErr w:type="spellStart"/>
      <w:r w:rsidR="00925D25">
        <w:t>metanizáció</w:t>
      </w:r>
      <w:proofErr w:type="spellEnd"/>
      <w:r w:rsidR="00925D25">
        <w:t xml:space="preserve"> katalizátoraként </w:t>
      </w:r>
      <w:r>
        <w:t>többféle</w:t>
      </w:r>
      <w:r w:rsidR="00925D25">
        <w:t xml:space="preserve"> fémet (Ni, </w:t>
      </w:r>
      <w:proofErr w:type="spellStart"/>
      <w:r w:rsidR="00925D25">
        <w:t>Ru</w:t>
      </w:r>
      <w:proofErr w:type="spellEnd"/>
      <w:r w:rsidR="00925D25">
        <w:t xml:space="preserve">, </w:t>
      </w:r>
      <w:proofErr w:type="spellStart"/>
      <w:r w:rsidR="00925D25">
        <w:t>Rh</w:t>
      </w:r>
      <w:proofErr w:type="spellEnd"/>
      <w:r w:rsidR="00925D25">
        <w:t xml:space="preserve">, és </w:t>
      </w:r>
      <w:proofErr w:type="spellStart"/>
      <w:r w:rsidR="00925D25">
        <w:t>Co</w:t>
      </w:r>
      <w:proofErr w:type="spellEnd"/>
      <w:r w:rsidR="00925D25">
        <w:t>) alkalmaznak, azonban a magas aktivitás, jó CH</w:t>
      </w:r>
      <w:r w:rsidR="00925D25" w:rsidRPr="00D05F9F">
        <w:rPr>
          <w:vertAlign w:val="subscript"/>
        </w:rPr>
        <w:t>4</w:t>
      </w:r>
      <w:r w:rsidR="00925D25">
        <w:t xml:space="preserve"> szelekció és alacsony nyersanyagár miatt a nikkel bázisú katalizátorok a legelterjedtebbek</w:t>
      </w:r>
      <w:proofErr w:type="gramEnd"/>
      <w:r w:rsidR="00925D25">
        <w:t xml:space="preserve"> </w:t>
      </w:r>
      <w:r w:rsidR="00925D25">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925D25">
        <w:fldChar w:fldCharType="separate"/>
      </w:r>
      <w:r w:rsidR="009974CC" w:rsidRPr="009974CC">
        <w:rPr>
          <w:noProof/>
        </w:rPr>
        <w:t>[11]</w:t>
      </w:r>
      <w:r w:rsidR="00925D25">
        <w:fldChar w:fldCharType="end"/>
      </w:r>
      <w:r w:rsidR="00925D25">
        <w:t xml:space="preserve">, </w:t>
      </w:r>
      <w:r w:rsidR="00925D25">
        <w:fldChar w:fldCharType="begin" w:fldLock="1"/>
      </w:r>
      <w:r w:rsidR="009974CC">
        <w:instrText>ADDIN CSL_CITATION {"citationItems":[{"id":"ITEM-1","itemData":{"DOI":"10.1080/03602457608073410","ISSN":"15205703","author":[{"dropping-particle":"","family":"Vannice","given":"M. A.","non-dropping-particle":"","parse-names":false,"suffix":""}],"container-title":"Catalysis Reviews","id":"ITEM-1","issue":"1","issued":{"date-parts":[["1976"]]},"page":"153-191","title":"The Catalytic Synthesis of Hydrocarbons from Carbon Monoxide and Hydrogen","type":"article-journal","volume":"14"},"uris":["http://www.mendeley.com/documents/?uuid=7fc8a4f3-b05a-4446-9530-f0e6329cad30"]}],"mendeley":{"formattedCitation":"[23]","plainTextFormattedCitation":"[23]","previouslyFormattedCitation":"[22]"},"properties":{"noteIndex":0},"schema":"https://github.com/citation-style-language/schema/raw/master/csl-citation.json"}</w:instrText>
      </w:r>
      <w:r w:rsidR="00925D25">
        <w:fldChar w:fldCharType="separate"/>
      </w:r>
      <w:r w:rsidR="009974CC" w:rsidRPr="009974CC">
        <w:rPr>
          <w:noProof/>
        </w:rPr>
        <w:t>[23]</w:t>
      </w:r>
      <w:r w:rsidR="00925D25">
        <w:fldChar w:fldCharType="end"/>
      </w:r>
      <w:r w:rsidR="00925D25">
        <w:t>.</w:t>
      </w:r>
    </w:p>
    <w:p w:rsidR="00AA51DD" w:rsidRPr="00AA51DD" w:rsidRDefault="00AA51DD" w:rsidP="00AA51DD">
      <w:pPr>
        <w:jc w:val="both"/>
      </w:pPr>
      <w:r w:rsidRPr="00AA51DD">
        <w:t xml:space="preserve">A </w:t>
      </w:r>
      <w:proofErr w:type="spellStart"/>
      <w:r w:rsidRPr="00AA51DD">
        <w:t>metanizá</w:t>
      </w:r>
      <w:r>
        <w:t>ciós</w:t>
      </w:r>
      <w:proofErr w:type="spellEnd"/>
      <w:r>
        <w:t xml:space="preserve"> technológiák</w:t>
      </w:r>
      <w:r w:rsidRPr="00AA51DD">
        <w:t xml:space="preserve"> közötti fő különbség</w:t>
      </w:r>
      <w:r>
        <w:t>et</w:t>
      </w:r>
      <w:r w:rsidRPr="00AA51DD">
        <w:t xml:space="preserve"> a reaktoron belüli hőmérsékletprofil</w:t>
      </w:r>
      <w:r>
        <w:t xml:space="preserve"> jelenti. H</w:t>
      </w:r>
      <w:r w:rsidRPr="00AA51DD">
        <w:t xml:space="preserve">áromféle hőmérsékleti </w:t>
      </w:r>
      <w:proofErr w:type="gramStart"/>
      <w:r w:rsidRPr="00AA51DD">
        <w:t>profil</w:t>
      </w:r>
      <w:r>
        <w:t>t</w:t>
      </w:r>
      <w:proofErr w:type="gramEnd"/>
      <w:r>
        <w:t xml:space="preserve"> különböztetünk meg</w:t>
      </w:r>
      <w:r w:rsidRPr="00AA51DD">
        <w:t xml:space="preserve">: </w:t>
      </w:r>
      <w:r>
        <w:t xml:space="preserve">az </w:t>
      </w:r>
      <w:r w:rsidRPr="00AA51DD">
        <w:t>adiabatikus</w:t>
      </w:r>
      <w:r>
        <w:t>t</w:t>
      </w:r>
      <w:r w:rsidRPr="00AA51DD">
        <w:t xml:space="preserve">, </w:t>
      </w:r>
      <w:r>
        <w:t xml:space="preserve">az </w:t>
      </w:r>
      <w:r w:rsidRPr="00AA51DD">
        <w:t>izotermikus</w:t>
      </w:r>
      <w:r>
        <w:t>t,</w:t>
      </w:r>
      <w:r w:rsidRPr="00AA51DD">
        <w:t xml:space="preserve"> és </w:t>
      </w:r>
      <w:r>
        <w:t xml:space="preserve">a </w:t>
      </w:r>
      <w:proofErr w:type="spellStart"/>
      <w:r w:rsidRPr="00AA51DD">
        <w:t>pol</w:t>
      </w:r>
      <w:r>
        <w:t>i</w:t>
      </w:r>
      <w:r w:rsidRPr="00AA51DD">
        <w:t>tr</w:t>
      </w:r>
      <w:r w:rsidR="002C0A90">
        <w:t>o</w:t>
      </w:r>
      <w:r w:rsidRPr="00AA51DD">
        <w:t>pikus</w:t>
      </w:r>
      <w:r>
        <w:t>at</w:t>
      </w:r>
      <w:proofErr w:type="spellEnd"/>
      <w:r w:rsidRPr="00AA51DD">
        <w:t>.</w:t>
      </w:r>
    </w:p>
    <w:p w:rsidR="000556B4" w:rsidRPr="008B2823" w:rsidRDefault="000556B4" w:rsidP="004677BC">
      <w:pPr>
        <w:pStyle w:val="Heading3"/>
      </w:pPr>
      <w:r w:rsidRPr="008B2823">
        <w:t xml:space="preserve">Adiabatikus </w:t>
      </w:r>
      <w:r>
        <w:t>fixágyas reaktor</w:t>
      </w:r>
    </w:p>
    <w:p w:rsidR="000556B4" w:rsidRDefault="000556B4" w:rsidP="000556B4">
      <w:pPr>
        <w:jc w:val="both"/>
      </w:pPr>
      <w:r>
        <w:t xml:space="preserve">A külső vagy integrált hűtés nélküli fixágyas reaktorok jellemzően közel adiabatikus hőmérsékleti </w:t>
      </w:r>
      <w:proofErr w:type="gramStart"/>
      <w:r>
        <w:t>profilt</w:t>
      </w:r>
      <w:proofErr w:type="gramEnd"/>
      <w:r>
        <w:t xml:space="preserve"> mutatnak, az ágyban egy határozott forró ponttal és magas reaktor-kilépési hőmérséklettel. </w:t>
      </w:r>
      <w:proofErr w:type="gramStart"/>
      <w:r w:rsidR="00CB58E5">
        <w:t>Általában 2-5, tipikusan közbenső hűtővel ellátott adiabatikus reaktorból áll</w:t>
      </w:r>
      <w:proofErr w:type="gramEnd"/>
      <w:r w:rsidR="00E059EC">
        <w:t xml:space="preserve"> </w:t>
      </w:r>
      <w:r w:rsidR="00E059EC">
        <w:fldChar w:fldCharType="begin" w:fldLock="1"/>
      </w:r>
      <w:r w:rsidR="009974CC">
        <w:instrText>ADDIN CSL_CITATION {"citationItems":[{"id":"ITEM-1","itemData":{"DOI":"10.1016/j.fuel.2014.01.036","ISSN":"00162361","abstract":"Synthetic natural gas (SNG) based on biomass is a secondary energy carrier with a lot of advantages. The methane synthesis reaction conditions are mild and the process is uncomplex. The whole natural gas infrastructure can be used for storage, distribution and application. In addition, methane is much easier to handle than hydrogen. In the SNG process synthesis gas will be converted to mainly methane and after a processing unit it could be fed into the natural gas grid. Air gasification technology is state-of-the-art and a low cost gasification technology. The synthesis gas out of an air gasifier is highly diluted with nitrogen and thus just used for combined heat and power production (CHP). The current SNG concepts need synthesis gas from a much more complex gasification with oxygen or steam. Because no literature could be found which analyzes the effect of nitrogen in the methanation unit, this paper will show first results in this field. Synthesis gas with different nitrogen content was tested in a fixed bed methanation reactor at different temperature levels, using a commercial 20 wt.% Nickel catalyst. The nitrogen content has the positive effect to limit the temperature increase by the strong exothermic reaction. Full carbon monoxide conversion and high methane selectivity was observed. It can be shown, that the methane selectivity is independent up to 50 Vol.% of nitrogen in the feed gas. An occurred side reaction is the ammonia production. The highest ammonia concentration, 614 ppm, was observed at the lowest nitrogen content. The same experiment shows the highest methane selectivity of 90% and methane content of 30 Vol.%. With increasing dilution, the ammonia formation falls off. The shown influence of nitrogen on the methanation reaction should point out the chances and risks for methanation of a diluted synthesis gas derived from biomass gasification, especially in small sizes, like decentralized air-gasification plants. © 2014 Elsevier Ltd.","author":[{"dropping-particle":"","family":"Kiendl","given":"Isabel","non-dropping-particle":"","parse-names":false,"suffix":""},{"dropping-particle":"","family":"Klemm","given":"Marco","non-dropping-particle":"","parse-names":false,"suffix":""},{"dropping-particle":"","family":"Clemens","given":"Andreas","non-dropping-particle":"","parse-names":false,"suffix":""},{"dropping-particle":"","family":"Herrman","given":"André","non-dropping-particle":"","parse-names":false,"suffix":""}],"container-title":"Fuel","id":"ITEM-1","issued":{"date-parts":[["2014"]]},"page":"211-217","publisher":"Elsevier Ltd","title":"Dilute gas methanation of synthesis gas from biomass gasification","type":"article-journal","volume":"123"},"uris":["http://www.mendeley.com/documents/?uuid=cb47821b-a47f-4caa-9563-f0c6cf75ca50"]}],"mendeley":{"formattedCitation":"[24]","plainTextFormattedCitation":"[24]","previouslyFormattedCitation":"[23]"},"properties":{"noteIndex":0},"schema":"https://github.com/citation-style-language/schema/raw/master/csl-citation.json"}</w:instrText>
      </w:r>
      <w:r w:rsidR="00E059EC">
        <w:fldChar w:fldCharType="separate"/>
      </w:r>
      <w:r w:rsidR="009974CC" w:rsidRPr="009974CC">
        <w:rPr>
          <w:noProof/>
        </w:rPr>
        <w:t>[24]</w:t>
      </w:r>
      <w:r w:rsidR="00E059EC">
        <w:fldChar w:fldCharType="end"/>
      </w:r>
      <w:r w:rsidR="00CB58E5">
        <w:t xml:space="preserve">. </w:t>
      </w:r>
      <w:r>
        <w:t xml:space="preserve">Mivel a </w:t>
      </w:r>
      <w:proofErr w:type="spellStart"/>
      <w:r>
        <w:t>metanizációs</w:t>
      </w:r>
      <w:proofErr w:type="spellEnd"/>
      <w:r>
        <w:t xml:space="preserve"> katalizátorok nem bírják az 550-700°C feletti hőmérsékleteket, gázvisszavezetésre vagy gőz hozzáadására</w:t>
      </w:r>
      <w:r w:rsidR="00CB58E5">
        <w:t xml:space="preserve"> </w:t>
      </w:r>
      <w:r>
        <w:t xml:space="preserve">lehet szükség. </w:t>
      </w:r>
      <w:proofErr w:type="gramStart"/>
      <w:r>
        <w:t>A technológia előnye a nagy reakciósebesség és a magas hőmérsékleten történő gőztermelés lehetősége, hátránya a viszonylag összetett folyamat körülményes beállítása</w:t>
      </w:r>
      <w:proofErr w:type="gramEnd"/>
      <w:r w:rsidR="002B07B7">
        <w:t xml:space="preserve"> </w:t>
      </w:r>
      <w:r w:rsidR="002B07B7">
        <w:fldChar w:fldCharType="begin" w:fldLock="1"/>
      </w:r>
      <w:r w:rsidR="009974CC">
        <w:instrText>ADDIN CSL_CITATION {"citationItems":[{"id":"ITEM-1","itemData":{"DOI":"10.1016/j.fuel.2015.10.111","ISSN":"00162361","abstract":"Methane production from syngas goes back to more than 100 years of research and process development. Early developments (1970-1980) using syngas from coal gasification plants primarily focused on fixed-bed and fluidized-bed methanation technologies. Temperature control and catalyst deactivation, e.g. caused by fouling and mechanical stress, were key issues of investigation. Due to the debate about a sustainable energy supply, research on methanation has been intensified during the last ten years. Novel reactor developments comprise e.g. micro reactors and three-phase reactors aiming at an advanced temperature control and a reduced complexity of future methanation plants. The developments are supported by detailed modeling and simulation work to optimize the design and dynamic behavior. To accompany and facilitate new methanation developments, the present work is aimed at giving researchers a comprehensive overview of methanation research conducted during the last century. On one hand, application-orientated research focusing on reactor developments, reactor modeling, and pilot plant investigation is reviewed. On the other hand, fundamentals such as reaction mechanisms and catalyst deactivation are presented.","author":[{"dropping-particle":"","family":"Rönsch","given":"Stefan","non-dropping-particle":"","parse-names":false,"suffix":""},{"dropping-particle":"","family":"Schneider","given":"Jens","non-dropping-particle":"","parse-names":false,"suffix":""},{"dropping-particle":"","family":"Matthischke","given":"Steffi","non-dropping-particle":"","parse-names":false,"suffix":""},{"dropping-particle":"","family":"Schlüter","given":"Michael","non-dropping-particle":"","parse-names":false,"suffix":""},{"dropping-particle":"","family":"Götz","given":"Manuel","non-dropping-particle":"","parse-names":false,"suffix":""},{"dropping-particle":"","family":"Lefebvre","given":"Jonathan","non-dropping-particle":"","parse-names":false,"suffix":""},{"dropping-particle":"","family":"Prabhakaran","given":"Praseeth","non-dropping-particle":"","parse-names":false,"suffix":""},{"dropping-particle":"","family":"Bajohr","given":"Siegfried","non-dropping-particle":"","parse-names":false,"suffix":""}],"container-title":"Fuel","id":"ITEM-1","issued":{"date-parts":[["2016"]]},"page":"276-296","publisher":"Elsevier Ltd","title":"Review on methanation - From fundamentals to current projects","type":"article-journal","volume":"166"},"uris":["http://www.mendeley.com/documents/?uuid=09583411-b108-470b-9fc6-960ba9ecb2b6"]}],"mendeley":{"formattedCitation":"[22]","plainTextFormattedCitation":"[22]","previouslyFormattedCitation":"[21]"},"properties":{"noteIndex":0},"schema":"https://github.com/citation-style-language/schema/raw/master/csl-citation.json"}</w:instrText>
      </w:r>
      <w:r w:rsidR="002B07B7">
        <w:fldChar w:fldCharType="separate"/>
      </w:r>
      <w:r w:rsidR="009974CC" w:rsidRPr="009974CC">
        <w:rPr>
          <w:noProof/>
        </w:rPr>
        <w:t>[22]</w:t>
      </w:r>
      <w:r w:rsidR="002B07B7">
        <w:fldChar w:fldCharType="end"/>
      </w:r>
      <w:r>
        <w:t>.</w:t>
      </w:r>
    </w:p>
    <w:p w:rsidR="00DF7933" w:rsidRDefault="00DF7933" w:rsidP="004677BC">
      <w:pPr>
        <w:pStyle w:val="Heading3"/>
      </w:pPr>
      <w:r>
        <w:t>Fluidágyas reaktor</w:t>
      </w:r>
    </w:p>
    <w:p w:rsidR="00DF7933" w:rsidRPr="00DF7933" w:rsidRDefault="00DF7933" w:rsidP="00DF7933">
      <w:pPr>
        <w:jc w:val="both"/>
      </w:pPr>
      <w:r w:rsidRPr="00DF7933">
        <w:t xml:space="preserve">A szilárd anyag keveredése </w:t>
      </w:r>
      <w:r>
        <w:t xml:space="preserve">közel </w:t>
      </w:r>
      <w:proofErr w:type="spellStart"/>
      <w:r>
        <w:t>izoterm</w:t>
      </w:r>
      <w:proofErr w:type="spellEnd"/>
      <w:r>
        <w:t xml:space="preserve"> hőmérsékletprofilt eredményez</w:t>
      </w:r>
      <w:r w:rsidRPr="00DF7933">
        <w:t xml:space="preserve"> </w:t>
      </w:r>
      <w:r>
        <w:t xml:space="preserve">a reaktoron belül, megkönnyítve </w:t>
      </w:r>
      <w:r w:rsidR="005757EE">
        <w:t xml:space="preserve">ezzel </w:t>
      </w:r>
      <w:r>
        <w:t xml:space="preserve">a szabályozást. </w:t>
      </w:r>
      <w:proofErr w:type="gramStart"/>
      <w:r>
        <w:t>Az így létrejött hatékony hőelvonás lehetővé teszi</w:t>
      </w:r>
      <w:r w:rsidR="005757EE">
        <w:t xml:space="preserve">, hogy a </w:t>
      </w:r>
      <w:proofErr w:type="spellStart"/>
      <w:r w:rsidR="005757EE">
        <w:t>metanizáció</w:t>
      </w:r>
      <w:proofErr w:type="spellEnd"/>
      <w:r w:rsidR="005757EE">
        <w:t xml:space="preserve"> </w:t>
      </w:r>
      <w:r>
        <w:t>egy meglehetősen egyszerű kialakítású reaktor</w:t>
      </w:r>
      <w:r w:rsidR="005757EE">
        <w:t>ban menjen végbe</w:t>
      </w:r>
      <w:proofErr w:type="gramEnd"/>
      <w:r w:rsidR="003F4A7A">
        <w:t xml:space="preserve"> </w:t>
      </w:r>
      <w:r w:rsidR="003F4A7A">
        <w:fldChar w:fldCharType="begin" w:fldLock="1"/>
      </w:r>
      <w:r w:rsidR="009974CC">
        <w:instrText>ADDIN CSL_CITATION {"citationItems":[{"id":"ITEM-1","itemData":{"DOI":"10.1016/j.ces.2010.11.042","ISSN":"00092509","abstract":"An extensive experimental study on the methanation reaction was carried out in a gas-solid fluidized bed reactor at 320°C with a stoichiometric ratio of H2/CO=3. By means of spatially resolved measurements of the axial gas species concentration and temperatures along the fluid bed the effects of different catalyst loadings, gas velocities and dilution rates were observed and analyzed. By applying this technique, it was found that most of the reaction (CO and H2 conversion) proceeds in the first 20mm of the bed depending on the experimental conditions. For a few cases, the temperature increases by up to 80°C from 320 to 400°C within the first 3mm of the bed. By increasing the inlet volume flow only by a factor of 1.4, the temperature hotspot diminishes and isothermal behavior develops. For all experiments, a CO conversion of practically 100% was achieved. The experimental data indicate that the dense phase of the fluidized bed is probed and that mass transfer between bubble and dense phase is dominating in the upper part of the bed. It could be shown that both hydrodynamic and chemical boundary conditions influence the methanation reaction inside the fluidized bed reactor. © 2010 Elsevier Ltd.","author":[{"dropping-particle":"","family":"Kopyscinski","given":"Jan","non-dropping-particle":"","parse-names":false,"suffix":""},{"dropping-particle":"","family":"Schildhauer","given":"Tilman J.","non-dropping-particle":"","parse-names":false,"suffix":""},{"dropping-particle":"","family":"Biollaz","given":"Serge M.A.","non-dropping-particle":"","parse-names":false,"suffix":""}],"container-title":"Chemical Engineering Science","id":"ITEM-1","issue":"5","issued":{"date-parts":[["2011"]]},"page":"924-934","publisher":"Elsevier","title":"Methanation in a fluidized bed reactor with high initial CO partial pressure: Part I-Experimental investigation of hydrodynamics, mass transfer effects, and carbon deposition","type":"article-journal","volume":"66"},"uris":["http://www.mendeley.com/documents/?uuid=80571dcf-e37b-4c6c-aa05-8d0977c0e551"]}],"mendeley":{"formattedCitation":"[25]","plainTextFormattedCitation":"[25]","previouslyFormattedCitation":"[24]"},"properties":{"noteIndex":0},"schema":"https://github.com/citation-style-language/schema/raw/master/csl-citation.json"}</w:instrText>
      </w:r>
      <w:r w:rsidR="003F4A7A">
        <w:fldChar w:fldCharType="separate"/>
      </w:r>
      <w:r w:rsidR="009974CC" w:rsidRPr="009974CC">
        <w:rPr>
          <w:noProof/>
        </w:rPr>
        <w:t>[25]</w:t>
      </w:r>
      <w:r w:rsidR="003F4A7A">
        <w:fldChar w:fldCharType="end"/>
      </w:r>
      <w:r w:rsidR="005757EE">
        <w:t xml:space="preserve">. </w:t>
      </w:r>
      <w:proofErr w:type="gramStart"/>
      <w:r w:rsidR="00F4346F">
        <w:t xml:space="preserve">Ugyanakkor a </w:t>
      </w:r>
      <w:proofErr w:type="spellStart"/>
      <w:r w:rsidR="00F4346F">
        <w:t>fluidizáció</w:t>
      </w:r>
      <w:proofErr w:type="spellEnd"/>
      <w:r w:rsidR="00F4346F">
        <w:t xml:space="preserve"> során jelentkező magas mechanikai terhelés növeli a katalizátor és a reaktor falának kopását, ami a katalizátor leállásához vezethet</w:t>
      </w:r>
      <w:proofErr w:type="gramEnd"/>
      <w:r w:rsidR="002323C9">
        <w:t xml:space="preserve"> </w:t>
      </w:r>
      <w:r w:rsidR="002323C9">
        <w:fldChar w:fldCharType="begin" w:fldLock="1"/>
      </w:r>
      <w:r w:rsidR="009974CC">
        <w:instrText>ADDIN CSL_CITATION {"citationItems":[{"id":"ITEM-1","itemData":{"DOI":"10.1016/S0926-860X(00)00843-7","ISSN":"0926860X","abstract":"The literature treating mechanisms of catalyst deactivation is reviewed. Intrinsic mechanisms of catalyst deactivation are many; nevertheless, they can be classified into six distinct types: (i) poisoning, (ii) fouling, (iii) thermal degradation, (iv) vapor compound formation accompanied by transport, (v) vapor-solid and/or solid-solid reactions, and (vi) attrition/crushing. As (i), (iv), and (v) are chemical in nature and (ii) and (v) are mechanical, the causes of deactivation are basically three-fold: chemical, mechanical and thermal. Each of these six mechanisms is defined and its features are illustrated by data and examples from the literature. The status of knowledge and needs for further work are also summarized for each type of deactivation mechanism. The development during the past two decades of more sophisticated surface spectroscopies and powerful computer technologies provides opportunities for obtaining substantially better understanding of deactivation mechanisms and building this understanding into comprehensive mathematical models that will enable more effective design and optimization of processes involving deactivating catalysts. © 2001 Elsevier Science B.V.","author":[{"dropping-particle":"","family":"Bartholomew","given":"Calvin H.","non-dropping-particle":"","parse-names":false,"suffix":""}],"container-title":"Applied Catalysis A: General","id":"ITEM-1","issue":"1-2","issued":{"date-parts":[["2001"]]},"page":"17-60","title":"Mechanisms of catalyst deactivation","type":"article-journal","volume":"212"},"uris":["http://www.mendeley.com/documents/?uuid=0fe1c836-c131-464c-af6f-ee0b14fdb7c7"]}],"mendeley":{"formattedCitation":"[26]","plainTextFormattedCitation":"[26]","previouslyFormattedCitation":"[25]"},"properties":{"noteIndex":0},"schema":"https://github.com/citation-style-language/schema/raw/master/csl-citation.json"}</w:instrText>
      </w:r>
      <w:r w:rsidR="002323C9">
        <w:fldChar w:fldCharType="separate"/>
      </w:r>
      <w:r w:rsidR="009974CC" w:rsidRPr="009974CC">
        <w:rPr>
          <w:noProof/>
        </w:rPr>
        <w:t>[26]</w:t>
      </w:r>
      <w:r w:rsidR="002323C9">
        <w:fldChar w:fldCharType="end"/>
      </w:r>
      <w:r w:rsidR="00F4346F">
        <w:t>. Szintén hátránya az eljárásnak, hogy a buborékképződés miatt nem teljes a CO</w:t>
      </w:r>
      <w:r w:rsidR="00F4346F" w:rsidRPr="00F4346F">
        <w:rPr>
          <w:vertAlign w:val="subscript"/>
        </w:rPr>
        <w:t>2</w:t>
      </w:r>
      <w:r w:rsidR="00F4346F">
        <w:t xml:space="preserve"> </w:t>
      </w:r>
      <w:proofErr w:type="gramStart"/>
      <w:r w:rsidR="00F4346F">
        <w:t>konverzió</w:t>
      </w:r>
      <w:proofErr w:type="gramEnd"/>
      <w:r w:rsidR="00F4346F">
        <w:t xml:space="preserve">. </w:t>
      </w:r>
      <w:proofErr w:type="gramStart"/>
      <w:r w:rsidR="001B2FC7" w:rsidRPr="001B2FC7">
        <w:t xml:space="preserve">Ezenkívül a </w:t>
      </w:r>
      <w:proofErr w:type="spellStart"/>
      <w:r w:rsidR="001B2FC7" w:rsidRPr="001B2FC7">
        <w:t>fluidizált</w:t>
      </w:r>
      <w:proofErr w:type="spellEnd"/>
      <w:r w:rsidR="001B2FC7" w:rsidRPr="001B2FC7">
        <w:t xml:space="preserve"> ágyas reaktort korlátozza a reaktoron belüli gázsebesség</w:t>
      </w:r>
      <w:r w:rsidR="00B43170">
        <w:t xml:space="preserve">, ami egyrészt </w:t>
      </w:r>
      <w:r w:rsidR="00B43170" w:rsidRPr="001B2FC7">
        <w:t xml:space="preserve">a minimális </w:t>
      </w:r>
      <w:proofErr w:type="spellStart"/>
      <w:r w:rsidR="00B43170" w:rsidRPr="001B2FC7">
        <w:t>fluidizációs</w:t>
      </w:r>
      <w:proofErr w:type="spellEnd"/>
      <w:r w:rsidR="00B43170" w:rsidRPr="001B2FC7">
        <w:t xml:space="preserve"> feltételek biztosítása érdekében </w:t>
      </w:r>
      <w:r w:rsidR="001B2FC7" w:rsidRPr="001B2FC7">
        <w:t xml:space="preserve">nem lehet túl alacsony, </w:t>
      </w:r>
      <w:r w:rsidR="00B43170">
        <w:t xml:space="preserve">ugyanakkor </w:t>
      </w:r>
      <w:r w:rsidR="001B2FC7" w:rsidRPr="001B2FC7">
        <w:t xml:space="preserve">a katalizátor </w:t>
      </w:r>
      <w:proofErr w:type="spellStart"/>
      <w:r w:rsidR="001B2FC7" w:rsidRPr="001B2FC7">
        <w:t>elutriálódásának</w:t>
      </w:r>
      <w:proofErr w:type="spellEnd"/>
      <w:r w:rsidR="001B2FC7" w:rsidRPr="001B2FC7">
        <w:t xml:space="preserve"> elkerülése érdekében</w:t>
      </w:r>
      <w:r w:rsidR="00B43170">
        <w:t xml:space="preserve"> túl magas sem</w:t>
      </w:r>
      <w:proofErr w:type="gramEnd"/>
      <w:r w:rsidR="003F4A7A">
        <w:t xml:space="preserve"> </w:t>
      </w:r>
      <w:r w:rsidR="003F4A7A">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3F4A7A">
        <w:fldChar w:fldCharType="separate"/>
      </w:r>
      <w:r w:rsidR="009974CC" w:rsidRPr="009974CC">
        <w:rPr>
          <w:noProof/>
        </w:rPr>
        <w:t>[11]</w:t>
      </w:r>
      <w:r w:rsidR="003F4A7A">
        <w:fldChar w:fldCharType="end"/>
      </w:r>
      <w:r w:rsidR="001B2FC7" w:rsidRPr="001B2FC7">
        <w:t>.</w:t>
      </w:r>
    </w:p>
    <w:p w:rsidR="00DF7933" w:rsidRPr="00EB0FBD" w:rsidRDefault="00EB0FBD" w:rsidP="004677BC">
      <w:pPr>
        <w:pStyle w:val="Heading3"/>
      </w:pPr>
      <w:r w:rsidRPr="00EB0FBD">
        <w:t xml:space="preserve">Háromfázisú </w:t>
      </w:r>
      <w:proofErr w:type="spellStart"/>
      <w:r w:rsidRPr="00EB0FBD">
        <w:t>metanizációs</w:t>
      </w:r>
      <w:proofErr w:type="spellEnd"/>
      <w:r w:rsidRPr="00EB0FBD">
        <w:t xml:space="preserve"> reaktor</w:t>
      </w:r>
    </w:p>
    <w:p w:rsidR="00EB0FBD" w:rsidRDefault="007567D8" w:rsidP="00EB0FBD">
      <w:pPr>
        <w:jc w:val="both"/>
      </w:pPr>
      <w:r>
        <w:t>Az iszapreaktorban lévő f</w:t>
      </w:r>
      <w:r w:rsidR="00EB0FBD">
        <w:t>olyékony fázis</w:t>
      </w:r>
      <w:r>
        <w:t>ban</w:t>
      </w:r>
      <w:r w:rsidR="00EB0FBD">
        <w:t xml:space="preserve"> </w:t>
      </w:r>
      <w:r w:rsidR="00EB0FBD" w:rsidRPr="00EB0FBD">
        <w:t>(</w:t>
      </w:r>
      <w:r w:rsidR="00EB0FBD">
        <w:t>általában termoolajok</w:t>
      </w:r>
      <w:r w:rsidR="00EB0FBD" w:rsidRPr="00EB0FBD">
        <w:t>)</w:t>
      </w:r>
      <w:r w:rsidR="00EB0FBD">
        <w:t xml:space="preserve"> </w:t>
      </w:r>
      <w:r>
        <w:t>finom katalizátor részecsék szuszpendálnak a gázáramlás eredményeként</w:t>
      </w:r>
      <w:r w:rsidR="00EB0FBD">
        <w:t>.</w:t>
      </w:r>
      <w:r>
        <w:t xml:space="preserve"> A magas hőkapacitású folyékony fázis jelenlétében megvalósítható a hatékony és pontos hőmérsékletszabályozás. Így a reakcióhő teljes egészében elvonható és a reaktor szinte teljesen </w:t>
      </w:r>
      <w:proofErr w:type="spellStart"/>
      <w:r>
        <w:t>izoterm</w:t>
      </w:r>
      <w:proofErr w:type="spellEnd"/>
      <w:r>
        <w:t xml:space="preserve"> módon üzemeltethető, amivel egyszerű folyamattervezés válik </w:t>
      </w:r>
      <w:r>
        <w:lastRenderedPageBreak/>
        <w:t xml:space="preserve">megvalósíthatóvá. </w:t>
      </w:r>
      <w:proofErr w:type="gramStart"/>
      <w:r>
        <w:t>Az iszapreaktorok működtetésében jelentkező kihívás</w:t>
      </w:r>
      <w:r w:rsidR="002056BE">
        <w:t xml:space="preserve"> a gáz folyadék</w:t>
      </w:r>
      <w:r>
        <w:t xml:space="preserve"> </w:t>
      </w:r>
      <w:r w:rsidR="00452917">
        <w:t>anyagátadási ellenállás</w:t>
      </w:r>
      <w:r w:rsidR="002056BE">
        <w:t>, valamint a szuszpenziós folyadék bomlása és párolgása</w:t>
      </w:r>
      <w:proofErr w:type="gramEnd"/>
      <w:r w:rsidR="002056BE">
        <w:t xml:space="preserve"> </w:t>
      </w:r>
      <w:r w:rsidR="002056BE">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2056BE">
        <w:fldChar w:fldCharType="separate"/>
      </w:r>
      <w:r w:rsidR="009974CC" w:rsidRPr="009974CC">
        <w:rPr>
          <w:noProof/>
        </w:rPr>
        <w:t>[11]</w:t>
      </w:r>
      <w:r w:rsidR="002056BE">
        <w:fldChar w:fldCharType="end"/>
      </w:r>
      <w:r w:rsidR="002056BE">
        <w:t xml:space="preserve">, </w:t>
      </w:r>
      <w:r w:rsidR="002056BE">
        <w:fldChar w:fldCharType="begin" w:fldLock="1"/>
      </w:r>
      <w:r w:rsidR="009974CC">
        <w:instrText>ADDIN CSL_CITATION {"citationItems":[{"id":"ITEM-1","itemData":{"DOI":"10.1016/j.fuproc.2014.10.040","ISSN":"03783820","abstract":"The performance of a slurry bubble column reactor was evaluated for its application as a methanation reactor. The influences of the reactor pressure (5 to 20 bar), temperature (275 to 325 °C), gas velocity (0.8 to 1.6 cm/s), catalyst concentration (1.6 to 9 vol.%) as well as reactant partial pressures (H2/CO2 ratio from 3.8 to 6.3) on the reactor performance were assessed and optimal process conditions for substitute natural gas production were identified. An increase in pressure, temperature, and H2/CO2 ratio improves the reactor performance. The optimal catalyst concentration depends on the operating conditions. Under the experimental conditions of the work presented in this paper, a concentration of 6.5 vol.% led to the highest conversion rates. Additionally, the dynamic behavior of the three-phase methanation reactor was investigated using inlet gas velocity step changes to simulate load variation of a power-to-gas facility. The reactor showed rapid adaptation while maintaining an isothermal temperature profile.","author":[{"dropping-particle":"","family":"Lefebvre","given":"Jonathan","non-dropping-particle":"","parse-names":false,"suffix":""},{"dropping-particle":"","family":"Götz","given":"Manuel","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Fuel Processing Technology","id":"ITEM-1","issued":{"date-parts":[["2015"]]},"page":"83-90","publisher":"Elsevier B.V.","title":"Improvement of three-phase methanation reactor performance for steady-state and transient operation","type":"article-journal","volume":"132"},"uris":["http://www.mendeley.com/documents/?uuid=1d8db1c0-d3dd-4b00-92f6-4878aa9ec1df"]}],"mendeley":{"formattedCitation":"[27]","plainTextFormattedCitation":"[27]","previouslyFormattedCitation":"[26]"},"properties":{"noteIndex":0},"schema":"https://github.com/citation-style-language/schema/raw/master/csl-citation.json"}</w:instrText>
      </w:r>
      <w:r w:rsidR="002056BE">
        <w:fldChar w:fldCharType="separate"/>
      </w:r>
      <w:r w:rsidR="009974CC" w:rsidRPr="009974CC">
        <w:rPr>
          <w:noProof/>
        </w:rPr>
        <w:t>[27]</w:t>
      </w:r>
      <w:r w:rsidR="002056BE">
        <w:fldChar w:fldCharType="end"/>
      </w:r>
      <w:r w:rsidR="002056BE">
        <w:t>.</w:t>
      </w:r>
    </w:p>
    <w:p w:rsidR="00EB0FBD" w:rsidRPr="00585776" w:rsidRDefault="00585776" w:rsidP="004677BC">
      <w:pPr>
        <w:pStyle w:val="Heading3"/>
      </w:pPr>
      <w:proofErr w:type="spellStart"/>
      <w:r w:rsidRPr="00585776">
        <w:t>Struktúrált</w:t>
      </w:r>
      <w:proofErr w:type="spellEnd"/>
      <w:r w:rsidRPr="00585776">
        <w:t xml:space="preserve"> reaktorok</w:t>
      </w:r>
    </w:p>
    <w:p w:rsidR="00A13F05" w:rsidRDefault="00585776" w:rsidP="00F248FF">
      <w:pPr>
        <w:jc w:val="both"/>
      </w:pPr>
      <w:r w:rsidRPr="00585776">
        <w:t>Az olyan strukturált reaktorok</w:t>
      </w:r>
      <w:r>
        <w:t>at</w:t>
      </w:r>
      <w:r w:rsidRPr="00585776">
        <w:t>, mint a monolit reaktorok, már az adiabatikus</w:t>
      </w:r>
      <w:r>
        <w:t xml:space="preserve"> fix</w:t>
      </w:r>
      <w:r w:rsidRPr="00585776">
        <w:t>ágyas reaktorok hátrányainak, nevezetesen a hőmérsékleti forr</w:t>
      </w:r>
      <w:r w:rsidR="005A253E">
        <w:t>ó</w:t>
      </w:r>
      <w:r w:rsidRPr="00585776">
        <w:t>pont</w:t>
      </w:r>
      <w:r>
        <w:t xml:space="preserve"> </w:t>
      </w:r>
      <w:r w:rsidRPr="00585776">
        <w:t xml:space="preserve">és </w:t>
      </w:r>
      <w:r>
        <w:t>n</w:t>
      </w:r>
      <w:r w:rsidRPr="00585776">
        <w:t>agy nyomásesés kezelésére fejlesztették ki. A belső fémszerkezetük</w:t>
      </w:r>
      <w:r w:rsidR="005A253E">
        <w:t xml:space="preserve"> hővezetésének </w:t>
      </w:r>
      <w:r w:rsidRPr="00585776">
        <w:t>köszönhetően a monolit reaktorok sugárirányú hőszállítás</w:t>
      </w:r>
      <w:r w:rsidR="005A253E">
        <w:t>a</w:t>
      </w:r>
      <w:r w:rsidRPr="00585776">
        <w:t xml:space="preserve"> </w:t>
      </w:r>
      <w:r w:rsidR="005A253E">
        <w:t xml:space="preserve">– az alkalmazott anyagtól függően </w:t>
      </w:r>
      <w:r w:rsidR="00A13F05">
        <w:t>–</w:t>
      </w:r>
      <w:r w:rsidR="005A253E">
        <w:t xml:space="preserve"> </w:t>
      </w:r>
      <w:r w:rsidRPr="00585776">
        <w:t>két-három nagyságrenddel nagyobb mértékű</w:t>
      </w:r>
      <w:r w:rsidR="005B26B8">
        <w:t xml:space="preserve"> [80].</w:t>
      </w:r>
      <w:r w:rsidR="00F248FF">
        <w:t xml:space="preserve"> </w:t>
      </w:r>
      <w:r w:rsidR="005B26B8">
        <w:t>A</w:t>
      </w:r>
      <w:r w:rsidR="00A13F05">
        <w:t xml:space="preserve"> </w:t>
      </w:r>
      <w:proofErr w:type="spellStart"/>
      <w:r w:rsidR="00A13F05">
        <w:t>mikrostrukturált</w:t>
      </w:r>
      <w:proofErr w:type="spellEnd"/>
      <w:r w:rsidR="00A13F05">
        <w:t xml:space="preserve"> reaktorok</w:t>
      </w:r>
      <w:r w:rsidR="005B26B8">
        <w:t xml:space="preserve"> </w:t>
      </w:r>
      <w:r w:rsidR="00A13F05">
        <w:t xml:space="preserve">nagyon </w:t>
      </w:r>
      <w:proofErr w:type="gramStart"/>
      <w:r w:rsidR="00A13F05">
        <w:t>kompakt</w:t>
      </w:r>
      <w:proofErr w:type="gramEnd"/>
      <w:r w:rsidR="005B26B8">
        <w:t xml:space="preserve"> egységek</w:t>
      </w:r>
      <w:r w:rsidR="00A13F05">
        <w:t>, nagy felület-térfogat aránnyal</w:t>
      </w:r>
      <w:r w:rsidR="00F248FF">
        <w:t xml:space="preserve"> és</w:t>
      </w:r>
      <w:r w:rsidR="00A13F05">
        <w:t xml:space="preserve"> hőátadással</w:t>
      </w:r>
      <w:r w:rsidR="00F248FF">
        <w:t>, valamint</w:t>
      </w:r>
      <w:r w:rsidR="00A13F05">
        <w:t xml:space="preserve"> kis nyomáseséssel rendelkeznek. </w:t>
      </w:r>
      <w:proofErr w:type="gramStart"/>
      <w:r w:rsidR="00A13F05">
        <w:t>A strukturált reaktorok hátrányai a katalizátor-lerakódás a fémszerkezeten, valamint a deaktivált katalizátor cseréje</w:t>
      </w:r>
      <w:r w:rsidR="00F248FF">
        <w:t xml:space="preserve"> (</w:t>
      </w:r>
      <w:r w:rsidR="00A13F05">
        <w:t xml:space="preserve">ha a katalizátor egyszer már </w:t>
      </w:r>
      <w:proofErr w:type="spellStart"/>
      <w:r w:rsidR="00A13F05">
        <w:t>deaktiválódott</w:t>
      </w:r>
      <w:proofErr w:type="spellEnd"/>
      <w:r w:rsidR="00A13F05">
        <w:t>, az egész reaktort új katalizátorbevonattal kell ellátni</w:t>
      </w:r>
      <w:r w:rsidR="00F248FF">
        <w:t>)</w:t>
      </w:r>
      <w:proofErr w:type="gramEnd"/>
      <w:r w:rsidR="00F17B78">
        <w:t xml:space="preserve"> </w:t>
      </w:r>
      <w:r w:rsidR="00F17B78">
        <w:fldChar w:fldCharType="begin" w:fldLock="1"/>
      </w:r>
      <w:r w:rsidR="009974CC">
        <w:instrText>ADDIN CSL_CITATION {"citationItems":[{"id":"ITEM-1","itemData":{"DOI":"10.1016/j.renene.2015.07.066","ISSN":"18790682","abstract":"The Power-to-Gas (PtG) process chain could play a significant role in the future energy system. Renewable electric energy can be transformed into storable methane via electrolysis and subsequent methanation. This article compares the available electrolysis and methanation technologies with respect to the stringent requirements of the PtG chain such as low CAPEX, high efficiency, and high flexibility. Three water electrolysis technologies are considered: alkaline electrolysis, PEM electrolysis, and solid oxide electrolysis. Alkaline electrolysis is currently the cheapest technology; however, in the future PEM electrolysis could be better suited for the PtG process chain. Solid oxide electrolysis could also be an option in future, especially if heat sources are available. Several different reactor concepts can be used for the methanation reaction. For catalytic methanation, typically fixed-bed reactors are used; however, novel reactor concepts such as three-phase methanation and micro reactors are currently under development. Another approach is the biochemical conversion. The bioprocess takes place in aqueous solutions and close to ambient temperatures. Finally, the whole process chain is discussed. Critical aspects of the PtG process are the availability of CO2 sources, the dynamic behaviour of the individual process steps, and especially the economics as well as the efficiency.","author":[{"dropping-particle":"","family":"Götz","given":"Manuel","non-dropping-particle":"","parse-names":false,"suffix":""},{"dropping-particle":"","family":"Lefebvre","given":"Jonathan","non-dropping-particle":"","parse-names":false,"suffix":""},{"dropping-particle":"","family":"Mörs","given":"Friedemann","non-dropping-particle":"","parse-names":false,"suffix":""},{"dropping-particle":"","family":"McDaniel Koch","given":"Amy","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container-title":"Renewable Energy","id":"ITEM-1","issued":{"date-parts":[["2016"]]},"page":"1371-1390","title":"Renewable Power-to-Gas: A technological and economic review","type":"article-journal","volume":"85"},"uris":["http://www.mendeley.com/documents/?uuid=dd3a3664-c96d-43cb-9631-3399b26d0b2f"]}],"mendeley":{"formattedCitation":"[11]","plainTextFormattedCitation":"[11]","previouslyFormattedCitation":"[10]"},"properties":{"noteIndex":0},"schema":"https://github.com/citation-style-language/schema/raw/master/csl-citation.json"}</w:instrText>
      </w:r>
      <w:r w:rsidR="00F17B78">
        <w:fldChar w:fldCharType="separate"/>
      </w:r>
      <w:r w:rsidR="009974CC" w:rsidRPr="009974CC">
        <w:rPr>
          <w:noProof/>
        </w:rPr>
        <w:t>[11]</w:t>
      </w:r>
      <w:r w:rsidR="00F17B78">
        <w:fldChar w:fldCharType="end"/>
      </w:r>
      <w:r w:rsidR="00A670F2">
        <w:t xml:space="preserve">, </w:t>
      </w:r>
      <w:r w:rsidR="00A670F2">
        <w:fldChar w:fldCharType="begin" w:fldLock="1"/>
      </w:r>
      <w:r w:rsidR="009974CC">
        <w:instrText>ADDIN CSL_CITATION {"citationItems":[{"id":"ITEM-1","itemData":{"DOI":"10.1016/j.apcatb.2014.01.016","ISSN":"09263373","abstract":"CO2 methanation has been evaluated as a means of storing intermittent renewable energy in the form of synthetic natural gas. A range of process parameters suitable for the target application (4720h-1 to 84,000h-1 and from 160°C to 320°C) have been investigated at 1bar and H2/CO2=4 over a 10% Ru/γ-Al2O3 catalyst. Thermodynamic equilibrium was reached at T≈280°C at a GHSV of 4720h-1. Cyclic and thermal stability tests specific to a renewable energy storage application have also been conducted. The catalyst showed no sign of deactivation after 8 start-up/shut-down cycles (from 217°C to RT) and for total time on stream of 72h, respectively. In addition, TGA-DSC was employed to investigate adsorption of reactants and suggest implications on the mechanism of reaction. Cyclic TGA-DSC studies at 265°C in CO2 and H2, being introduced consecutively, suggest a high degree of short term stability of the Ru catalyst, although it was found that CO2 chemisorption and hydrogenation activity was lowered by a magnitude of 40% after the first cycle. Stable performance was achieved for the following 19 cycles. The CO2 uptake after the first cycle was mostly restored when using a H2-pre-treatment at 320°C between each cycle, which indicated that the previous drop in performance was not linked to an irreversible form of deactivation (sintering, permanent poisoning, etc.). CO chemisorption on powder Ru/γ-Al2O3 was used to identify metal sintering as a mechanism of deactivation at temperatures higher than 320°C. A 10% Ru/γ-Al2O3//monolith has been investigated as a model for the design of a catalytic heat exchanger. Excellent selectivity to methane and CO2 conversions under low space-velocity conditions were achieved at low hydrogenation temperatures (T=240°C). The use of monoliths demonstrates the possibility for new reactor designs using wash-coated heat exchangers to manage the exotherm and prevent deactivation due to high temperatures. © 2014 Elsevier B.V.","author":[{"dropping-particle":"","family":"Janke","given":"C.","non-dropping-particle":"","parse-names":false,"suffix":""},{"dropping-particle":"","family":"Duyar","given":"M. S.","non-dropping-particle":"","parse-names":false,"suffix":""},{"dropping-particle":"","family":"Hoskins","given":"M.","non-dropping-particle":"","parse-names":false,"suffix":""},{"dropping-particle":"","family":"Farrauto","given":"R.","non-dropping-particle":"","parse-names":false,"suffix":""}],"container-title":"Applied Catalysis B: Environmental","id":"ITEM-1","issue":"1","issued":{"date-parts":[["2014"]]},"page":"184-191","publisher":"Elsevier B.V.","title":"Catalytic and adsorption studies for the hydrogenation of CO2 to methane","type":"article-journal","volume":"152-153"},"uris":["http://www.mendeley.com/documents/?uuid=1af59804-836d-42fd-af9f-3d50fd979a9e"]}],"mendeley":{"formattedCitation":"[28]","plainTextFormattedCitation":"[28]","previouslyFormattedCitation":"[27]"},"properties":{"noteIndex":0},"schema":"https://github.com/citation-style-language/schema/raw/master/csl-citation.json"}</w:instrText>
      </w:r>
      <w:r w:rsidR="00A670F2">
        <w:fldChar w:fldCharType="separate"/>
      </w:r>
      <w:r w:rsidR="009974CC" w:rsidRPr="009974CC">
        <w:rPr>
          <w:noProof/>
        </w:rPr>
        <w:t>[28]</w:t>
      </w:r>
      <w:r w:rsidR="00A670F2">
        <w:fldChar w:fldCharType="end"/>
      </w:r>
      <w:r w:rsidR="00A670F2">
        <w:t xml:space="preserve">, </w:t>
      </w:r>
      <w:r w:rsidR="00A670F2">
        <w:fldChar w:fldCharType="begin" w:fldLock="1"/>
      </w:r>
      <w:r w:rsidR="009974CC">
        <w:instrText>ADDIN CSL_CITATION {"citationItems":[{"id":"ITEM-1","itemData":{"DOI":"10.1016/j.fuel.2011.12.045","ISSN":"00162361","abstract":"Methanation reaction from syngas to synthetic natural gas (SNG) has been successfully implemented over Ni catalyst in a micro-channel reactor with high conversion and selectivity in milliseconds contact time. A new method called improved thermal spray to manufacture the metal-ceramics complex substrate as catalyst support was presented. The substrate demonstrated dual functions, i.e., the superior heat conduction as metal and stable catalyst coating on it as ceramics (e.g., Al 2O 3). The experiments verified that the fall-off proportion of the catalyst can be neglected after the plates experienced methanation reaction and strong vibration in ultrasonic cleaner. Meanwhile, the catalyst coatings on the walls of micro-channel reactor showed high activity and stability, having the excellent catalytic performance for methanation reaction in micro-channel reactors and the reliability in long-term use as well. At the temperature of 550°C and the pressure of 30 atm, CO conversion and CH 4 selectivity can remain above 98% and 92%, respectively, at a high GHSV of 71,000 h -1, where the corresponding residence time is only about 50 ms. Extensive characterizations of these Ni catalyst plates were also made to get a better understanding of the catalytic performance. The results of XRD, SEM, TEM and TPR characterizations demonstrated that Ni catalysts prepared in this work did not show any sign of deactivation after being used in the micro-channel system. It is expected that the methanation reactor technique based on the metal-ceramics complex substrate as the catalyst support in (micro-)channel reactors would open opportunities for the reliable engineering applications of either distributed or mass production of SNG from syngas. © 2012 Elsevier Ltd. All rights reserved.","author":[{"dropping-particle":"","family":"Liu","given":"Zhihong","non-dropping-particle":"","parse-names":false,"suffix":""},{"dropping-particle":"","family":"Chu","given":"Bozhao","non-dropping-particle":"","parse-names":false,"suffix":""},{"dropping-particle":"","family":"Zhai","given":"Xuli","non-dropping-particle":"","parse-names":false,"suffix":""},{"dropping-particle":"","family":"Jin","given":"Yong","non-dropping-particle":"","parse-names":false,"suffix":""},{"dropping-particle":"","family":"Cheng","given":"Yi","non-dropping-particle":"","parse-names":false,"suffix":""}],"container-title":"Fuel","id":"ITEM-1","issued":{"date-parts":[["2012"]]},"page":"599-605","publisher":"Elsevier Ltd","title":"Total methanation of syngas to synthetic natural gas over Ni catalyst in a micro-channel reactor","type":"article-journal","volume":"95"},"uris":["http://www.mendeley.com/documents/?uuid=2a8c36cf-0d7a-4342-8517-1bcb85412f9b"]}],"mendeley":{"formattedCitation":"[29]","plainTextFormattedCitation":"[29]","previouslyFormattedCitation":"[28]"},"properties":{"noteIndex":0},"schema":"https://github.com/citation-style-language/schema/raw/master/csl-citation.json"}</w:instrText>
      </w:r>
      <w:r w:rsidR="00A670F2">
        <w:fldChar w:fldCharType="separate"/>
      </w:r>
      <w:r w:rsidR="009974CC" w:rsidRPr="009974CC">
        <w:rPr>
          <w:noProof/>
        </w:rPr>
        <w:t>[29]</w:t>
      </w:r>
      <w:r w:rsidR="00A670F2">
        <w:fldChar w:fldCharType="end"/>
      </w:r>
      <w:r w:rsidR="00A670F2">
        <w:t xml:space="preserve">, </w:t>
      </w:r>
      <w:r w:rsidR="00A670F2">
        <w:fldChar w:fldCharType="begin" w:fldLock="1"/>
      </w:r>
      <w:r w:rsidR="009974CC">
        <w:instrText>ADDIN CSL_CITATION {"citationItems":[{"id":"ITEM-1","itemData":{"DOI":"10.1016/j.ces.2006.11.020","ISSN":"00092509","abstract":"This paper describes the development of a microchannel-based Sabatier reactor for applications such as propellant production on Mars or space habitat air revitalization. Microchannel designs offer advantages for a compact reactor with excellent thermal control. This paper discusses the development of a Ru - TiO2-based catalyst using powdered form and its application and testing in a microchannel reactor. The resultant catalyst and microchannel reactor demonstrates good conversion, selectivity, and longevity in a compact device. A chemically reacting flow model is used to assist experimental interpretation and to suggest microchannel design approaches. A kinetic rate expression for the global Sabatier reaction is developed and validated using computational models to interpret packed-bed experiments with catalysts in powder form. The resulting global reaction is then incorporated into a reactive plug-flow model that represents a microchannel reactor. © 2006 Elsevier Ltd. All rights reserved.","author":[{"dropping-particle":"","family":"Brooks","given":"Kriston P.","non-dropping-particle":"","parse-names":false,"suffix":""},{"dropping-particle":"","family":"Hu","given":"Jianli","non-dropping-particle":"","parse-names":false,"suffix":""},{"dropping-particle":"","family":"Zhu","given":"Huayang","non-dropping-particle":"","parse-names":false,"suffix":""},{"dropping-particle":"","family":"Kee","given":"Robert J.","non-dropping-particle":"","parse-names":false,"suffix":""}],"container-title":"Chemical Engineering Science","id":"ITEM-1","issue":"4","issued":{"date-parts":[["2007"]]},"page":"1161-1170","title":"Methanation of carbon dioxide by hydrogen reduction using the Sabatier process in microchannel reactors","type":"article-journal","volume":"62"},"uris":["http://www.mendeley.com/documents/?uuid=35e32d5b-2508-41fb-b213-19c49def0432"]}],"mendeley":{"formattedCitation":"[30]","plainTextFormattedCitation":"[30]","previouslyFormattedCitation":"[29]"},"properties":{"noteIndex":0},"schema":"https://github.com/citation-style-language/schema/raw/master/csl-citation.json"}</w:instrText>
      </w:r>
      <w:r w:rsidR="00A670F2">
        <w:fldChar w:fldCharType="separate"/>
      </w:r>
      <w:r w:rsidR="009974CC" w:rsidRPr="009974CC">
        <w:rPr>
          <w:noProof/>
        </w:rPr>
        <w:t>[30]</w:t>
      </w:r>
      <w:r w:rsidR="00A670F2">
        <w:fldChar w:fldCharType="end"/>
      </w:r>
      <w:r w:rsidR="00A13F05">
        <w:t>.</w:t>
      </w:r>
    </w:p>
    <w:p w:rsidR="003B1579" w:rsidRPr="006B1B7C" w:rsidRDefault="006B1B7C" w:rsidP="004677BC">
      <w:pPr>
        <w:pStyle w:val="Heading2"/>
      </w:pPr>
      <w:r w:rsidRPr="006B1B7C">
        <w:t xml:space="preserve">Biológiai </w:t>
      </w:r>
      <w:proofErr w:type="spellStart"/>
      <w:r w:rsidRPr="006B1B7C">
        <w:t>metanizáció</w:t>
      </w:r>
      <w:proofErr w:type="spellEnd"/>
    </w:p>
    <w:p w:rsidR="00526040" w:rsidRDefault="002F2BCB" w:rsidP="00397BB6">
      <w:pPr>
        <w:jc w:val="both"/>
      </w:pPr>
      <w:r>
        <w:t>A bio</w:t>
      </w:r>
      <w:r w:rsidR="00295265">
        <w:t xml:space="preserve">lógiai </w:t>
      </w:r>
      <w:proofErr w:type="spellStart"/>
      <w:r w:rsidR="00295265">
        <w:t>metanizáció</w:t>
      </w:r>
      <w:proofErr w:type="spellEnd"/>
      <w:r w:rsidR="00295265">
        <w:t xml:space="preserve"> alapját mindig egy </w:t>
      </w:r>
      <w:r w:rsidR="005C2DBB">
        <w:t>CH</w:t>
      </w:r>
      <w:r w:rsidR="005C2DBB" w:rsidRPr="005C2DBB">
        <w:rPr>
          <w:vertAlign w:val="subscript"/>
        </w:rPr>
        <w:t>4</w:t>
      </w:r>
      <w:r w:rsidR="005C2DBB">
        <w:t>-ben</w:t>
      </w:r>
      <w:r w:rsidR="00295265">
        <w:t xml:space="preserve"> szegény gáz képezi (pl.: biogáz, depóniagáz</w:t>
      </w:r>
      <w:r w:rsidR="008C7F3B">
        <w:t>, szintézis gáz</w:t>
      </w:r>
      <w:r w:rsidR="00295265">
        <w:t xml:space="preserve">), amelyet első lépésben </w:t>
      </w:r>
      <w:r>
        <w:t xml:space="preserve">a </w:t>
      </w:r>
      <w:proofErr w:type="gramStart"/>
      <w:r>
        <w:t>toxikus</w:t>
      </w:r>
      <w:proofErr w:type="gramEnd"/>
      <w:r>
        <w:t xml:space="preserve"> és korrozív anyagok</w:t>
      </w:r>
      <w:r w:rsidR="00295265">
        <w:t xml:space="preserve">tól </w:t>
      </w:r>
      <w:r>
        <w:t>(H</w:t>
      </w:r>
      <w:r w:rsidRPr="00295265">
        <w:rPr>
          <w:vertAlign w:val="subscript"/>
        </w:rPr>
        <w:t>2</w:t>
      </w:r>
      <w:r>
        <w:t xml:space="preserve">S, </w:t>
      </w:r>
      <w:proofErr w:type="spellStart"/>
      <w:r>
        <w:t>Si</w:t>
      </w:r>
      <w:proofErr w:type="spellEnd"/>
      <w:r>
        <w:t>, CO, NH</w:t>
      </w:r>
      <w:r w:rsidRPr="00295265">
        <w:rPr>
          <w:vertAlign w:val="subscript"/>
        </w:rPr>
        <w:t>3</w:t>
      </w:r>
      <w:r>
        <w:t xml:space="preserve">, </w:t>
      </w:r>
      <w:proofErr w:type="spellStart"/>
      <w:r>
        <w:t>sziloxánok</w:t>
      </w:r>
      <w:proofErr w:type="spellEnd"/>
      <w:r>
        <w:t xml:space="preserve"> és illékony szerves komponensek)</w:t>
      </w:r>
      <w:r w:rsidR="00295265">
        <w:t xml:space="preserve"> kell megtisztítani, majd </w:t>
      </w:r>
      <w:r w:rsidR="005C2DBB">
        <w:t xml:space="preserve">ezt követi a </w:t>
      </w:r>
      <w:r w:rsidR="008C762A">
        <w:t xml:space="preserve">fűtőérték növelése. A mikrobák </w:t>
      </w:r>
      <w:r w:rsidR="002F2295">
        <w:t>–</w:t>
      </w:r>
      <w:r w:rsidR="008C762A">
        <w:t xml:space="preserve"> H</w:t>
      </w:r>
      <w:r w:rsidR="008C762A" w:rsidRPr="008C762A">
        <w:rPr>
          <w:vertAlign w:val="subscript"/>
        </w:rPr>
        <w:t>2</w:t>
      </w:r>
      <w:r w:rsidR="008C762A">
        <w:t xml:space="preserve"> jelenléte mellett </w:t>
      </w:r>
      <w:r w:rsidR="002F2295">
        <w:t>–</w:t>
      </w:r>
      <w:r w:rsidR="008C762A" w:rsidRPr="008C762A">
        <w:t xml:space="preserve"> </w:t>
      </w:r>
      <w:r w:rsidR="008C762A">
        <w:t>képesek anyagcseréjük révén a biogázban jelen levő CO</w:t>
      </w:r>
      <w:r w:rsidR="008C762A" w:rsidRPr="008C762A">
        <w:rPr>
          <w:vertAlign w:val="subscript"/>
        </w:rPr>
        <w:t>2</w:t>
      </w:r>
      <w:r w:rsidR="008C762A">
        <w:t>-ot CH</w:t>
      </w:r>
      <w:r w:rsidR="008C762A" w:rsidRPr="008C762A">
        <w:rPr>
          <w:vertAlign w:val="subscript"/>
        </w:rPr>
        <w:t>4</w:t>
      </w:r>
      <w:r w:rsidR="008C762A">
        <w:t>-ná alakítani.</w:t>
      </w:r>
      <w:r w:rsidR="005C2DBB">
        <w:t xml:space="preserve"> </w:t>
      </w:r>
      <w:proofErr w:type="gramStart"/>
      <w:r w:rsidR="005C2DBB">
        <w:t>Amennyiben a keletkezett gáz CH</w:t>
      </w:r>
      <w:r w:rsidR="005C2DBB" w:rsidRPr="005C2DBB">
        <w:rPr>
          <w:vertAlign w:val="subscript"/>
        </w:rPr>
        <w:t>4</w:t>
      </w:r>
      <w:r w:rsidR="005C2DBB">
        <w:t xml:space="preserve"> koncentrációja eléri a 95-98%-</w:t>
      </w:r>
      <w:proofErr w:type="spellStart"/>
      <w:r w:rsidR="005C2DBB">
        <w:t>ot</w:t>
      </w:r>
      <w:proofErr w:type="spellEnd"/>
      <w:r w:rsidR="005C2DBB">
        <w:t xml:space="preserve">, </w:t>
      </w:r>
      <w:r w:rsidR="00706181">
        <w:t>a termékgáz</w:t>
      </w:r>
      <w:r w:rsidR="005C2DBB">
        <w:t xml:space="preserve"> </w:t>
      </w:r>
      <w:proofErr w:type="spellStart"/>
      <w:r w:rsidR="005C2DBB">
        <w:t>biometán</w:t>
      </w:r>
      <w:proofErr w:type="spellEnd"/>
      <w:r w:rsidR="005C2DBB">
        <w:t xml:space="preserve"> (bioCH</w:t>
      </w:r>
      <w:r w:rsidR="005C2DBB" w:rsidRPr="00706181">
        <w:rPr>
          <w:vertAlign w:val="subscript"/>
        </w:rPr>
        <w:t>4</w:t>
      </w:r>
      <w:r w:rsidR="005C2DBB">
        <w:t>)</w:t>
      </w:r>
      <w:proofErr w:type="gramEnd"/>
      <w:r w:rsidR="00706181">
        <w:t xml:space="preserve"> </w:t>
      </w:r>
      <w:r w:rsidR="0047563B">
        <w:fldChar w:fldCharType="begin" w:fldLock="1"/>
      </w:r>
      <w:r w:rsidR="009974CC">
        <w:instrText>ADDIN CSL_CITATION {"citationItems":[{"id":"ITEM-1","itemData":{"abstract":"A Power-to-Gas (P2G) technológia a kémiai energiatárolás egy viszonylag új formája, amiben a fel nem használt villamos energiát üzemanyaggá, esetünkben metánná alakítják. Ennek az átalakításnak két útja ismert; egy tisztán kémiai, ami magas hőmérsékleten és nyomáson működik, valamint egy mikrobiológiai, ahol mind a nyomás, mind a hőmérséklet – és így összességében az energiaigény – jóval alacsonyabb. Ebben a cikkben egy komplex kutatási és innovációs központ tervét mutatjuk be, amely egy Power-to-Gas erőmű köré épülne. Bemutatjuk és elemezzük a különböző kapcsolódó egységeket, mint pl. az energiatároló egységek, a hulladékhő-tárolók, a hulladékhőhasznosító munkaszolgáltató körfolyamatok, a különböző alapon működő gáztárolók stb.","author":[{"dropping-particle":"","family":"Szuhaj","given":"Márk","non-dropping-particle":"","parse-names":false,"suffix":""},{"dropping-particle":"","family":"Bagi","given":"Zoltán","non-dropping-particle":"","parse-names":false,"suffix":""},{"dropping-particle":"","family":"Kovács L.","given":"Kornél","non-dropping-particle":"","parse-names":false,"suffix":""}],"container-title":"ENERGIAGAZDÁLKODÁS","id":"ITEM-1","issue":"special issue","issued":{"date-parts":[["2019"]]},"page":"13-16","title":"A „Power-to-Gas” és kapcsolódó biogáz tisztítási biotechnológiai eljárások","type":"article-journal","volume":"60"},"uris":["http://www.mendeley.com/documents/?uuid=460943a5-ce0e-4ce7-a820-cfb5bab7080c"]}],"mendeley":{"formattedCitation":"[31]","plainTextFormattedCitation":"[31]","previouslyFormattedCitation":"[30]"},"properties":{"noteIndex":0},"schema":"https://github.com/citation-style-language/schema/raw/master/csl-citation.json"}</w:instrText>
      </w:r>
      <w:r w:rsidR="0047563B">
        <w:fldChar w:fldCharType="separate"/>
      </w:r>
      <w:r w:rsidR="009974CC" w:rsidRPr="009974CC">
        <w:rPr>
          <w:noProof/>
        </w:rPr>
        <w:t>[31]</w:t>
      </w:r>
      <w:r w:rsidR="0047563B">
        <w:fldChar w:fldCharType="end"/>
      </w:r>
      <w:r w:rsidR="00706181">
        <w:t>.</w:t>
      </w:r>
    </w:p>
    <w:p w:rsidR="00526040" w:rsidRDefault="007D1625" w:rsidP="00397BB6">
      <w:pPr>
        <w:jc w:val="both"/>
      </w:pPr>
      <w:r>
        <w:t>T</w:t>
      </w:r>
      <w:r w:rsidR="00526040">
        <w:t xml:space="preserve">örzsek szempontjából </w:t>
      </w:r>
      <w:proofErr w:type="spellStart"/>
      <w:r w:rsidR="00526040">
        <w:t>megkülönböztethetők</w:t>
      </w:r>
      <w:proofErr w:type="spellEnd"/>
      <w:r>
        <w:t xml:space="preserve"> az</w:t>
      </w:r>
      <w:r w:rsidR="00526040">
        <w:t xml:space="preserve"> </w:t>
      </w:r>
      <w:r>
        <w:t xml:space="preserve">energiáját kémiai úton, szervetlen forrásból nyerő </w:t>
      </w:r>
      <w:proofErr w:type="spellStart"/>
      <w:r w:rsidR="00526040">
        <w:t>kemoautotróf</w:t>
      </w:r>
      <w:proofErr w:type="spellEnd"/>
      <w:r>
        <w:t xml:space="preserve">, valamint az energiát fényből nyerő </w:t>
      </w:r>
      <w:r w:rsidR="00526040">
        <w:t xml:space="preserve">fotoszintetikus </w:t>
      </w:r>
      <w:r>
        <w:t>baktériumtörzseket</w:t>
      </w:r>
      <w:r w:rsidR="00526040">
        <w:t>.</w:t>
      </w:r>
    </w:p>
    <w:p w:rsidR="00526040" w:rsidRPr="007D1625" w:rsidRDefault="007D1625" w:rsidP="004677BC">
      <w:pPr>
        <w:pStyle w:val="Heading3"/>
      </w:pPr>
      <w:proofErr w:type="spellStart"/>
      <w:r w:rsidRPr="007D1625">
        <w:t>Kemoautotróf</w:t>
      </w:r>
      <w:proofErr w:type="spellEnd"/>
      <w:r w:rsidRPr="007D1625">
        <w:t xml:space="preserve"> </w:t>
      </w:r>
      <w:r w:rsidR="00261726">
        <w:t>módszerek</w:t>
      </w:r>
    </w:p>
    <w:p w:rsidR="007D1625" w:rsidRDefault="007D1625" w:rsidP="00397BB6">
      <w:pPr>
        <w:jc w:val="both"/>
      </w:pPr>
      <w:r>
        <w:t>A</w:t>
      </w:r>
      <w:r w:rsidRPr="007D1625">
        <w:t xml:space="preserve"> </w:t>
      </w:r>
      <w:proofErr w:type="spellStart"/>
      <w:r w:rsidRPr="007D1625">
        <w:t>hidrogenotróf</w:t>
      </w:r>
      <w:proofErr w:type="spellEnd"/>
      <w:r w:rsidRPr="007D1625">
        <w:t xml:space="preserve"> </w:t>
      </w:r>
      <w:proofErr w:type="spellStart"/>
      <w:r w:rsidRPr="007D1625">
        <w:t>metanogén</w:t>
      </w:r>
      <w:proofErr w:type="spellEnd"/>
      <w:r w:rsidRPr="007D1625">
        <w:t xml:space="preserve"> </w:t>
      </w:r>
      <w:proofErr w:type="spellStart"/>
      <w:r w:rsidRPr="007D1625">
        <w:t>Archea</w:t>
      </w:r>
      <w:proofErr w:type="spellEnd"/>
      <w:r w:rsidRPr="007D1625">
        <w:t xml:space="preserve"> törzsek </w:t>
      </w:r>
      <w:proofErr w:type="spellStart"/>
      <w:r w:rsidRPr="007D1625">
        <w:t>katalizá</w:t>
      </w:r>
      <w:r>
        <w:t>ciója</w:t>
      </w:r>
      <w:proofErr w:type="spellEnd"/>
      <w:r>
        <w:t xml:space="preserve"> az alábbi módon játszódik le:</w:t>
      </w:r>
    </w:p>
    <w:p w:rsidR="007D1625" w:rsidRDefault="007D1625" w:rsidP="00397BB6">
      <w:pPr>
        <w:jc w:val="both"/>
      </w:pPr>
      <m:oMathPara>
        <m:oMath>
          <m:r>
            <w:rPr>
              <w:rFonts w:ascii="Cambria Math" w:hAnsi="Cambria Math"/>
            </w:rPr>
            <m:t>4</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O-130.7 kJ/mol</m:t>
          </m:r>
        </m:oMath>
      </m:oMathPara>
    </w:p>
    <w:p w:rsidR="0018122F" w:rsidRDefault="0018122F" w:rsidP="002B3BE9">
      <w:pPr>
        <w:jc w:val="both"/>
      </w:pPr>
      <w:r>
        <w:t xml:space="preserve">A </w:t>
      </w:r>
      <w:proofErr w:type="spellStart"/>
      <w:r>
        <w:t>katalizáció</w:t>
      </w:r>
      <w:proofErr w:type="spellEnd"/>
      <w:r>
        <w:t xml:space="preserve"> helye alapján megkülönböztethetünk </w:t>
      </w:r>
      <w:r w:rsidR="007D1625">
        <w:t>in-situ</w:t>
      </w:r>
      <w:r w:rsidR="002B3BE9">
        <w:t xml:space="preserve">, ex-situ és </w:t>
      </w:r>
      <w:proofErr w:type="gramStart"/>
      <w:r w:rsidR="002B3BE9">
        <w:t>hibrid</w:t>
      </w:r>
      <w:proofErr w:type="gramEnd"/>
      <w:r w:rsidR="007D1625">
        <w:t xml:space="preserve"> </w:t>
      </w:r>
      <w:proofErr w:type="spellStart"/>
      <w:r>
        <w:t>metanizációt</w:t>
      </w:r>
      <w:proofErr w:type="spellEnd"/>
      <w:r w:rsidR="002B3BE9">
        <w:t xml:space="preserve">. In-situ </w:t>
      </w:r>
      <w:proofErr w:type="spellStart"/>
      <w:r w:rsidR="002B3BE9">
        <w:t>metanizáció</w:t>
      </w:r>
      <w:proofErr w:type="spellEnd"/>
      <w:r w:rsidR="002B3BE9">
        <w:t xml:space="preserve"> esetén </w:t>
      </w:r>
      <w:r>
        <w:t xml:space="preserve">a </w:t>
      </w:r>
      <w:r w:rsidR="00006783">
        <w:t>biol</w:t>
      </w:r>
      <w:r>
        <w:t>ó</w:t>
      </w:r>
      <w:r w:rsidR="00006783">
        <w:t>g</w:t>
      </w:r>
      <w:r>
        <w:t xml:space="preserve">iai </w:t>
      </w:r>
      <w:proofErr w:type="spellStart"/>
      <w:r>
        <w:t>metanizáció</w:t>
      </w:r>
      <w:proofErr w:type="spellEnd"/>
      <w:r>
        <w:t xml:space="preserve"> helye a </w:t>
      </w:r>
      <w:r w:rsidR="007D1625">
        <w:t>biogáz termelő, szerves</w:t>
      </w:r>
      <w:r>
        <w:t xml:space="preserve"> </w:t>
      </w:r>
      <w:r w:rsidR="007D1625">
        <w:t>anyag lebontást végző reaktor</w:t>
      </w:r>
      <w:r>
        <w:t xml:space="preserve">. </w:t>
      </w:r>
      <w:proofErr w:type="gramStart"/>
      <w:r w:rsidR="002B3BE9">
        <w:t xml:space="preserve">Ilyenkor a </w:t>
      </w:r>
      <w:proofErr w:type="spellStart"/>
      <w:r w:rsidR="002B3BE9">
        <w:t>metanizáció</w:t>
      </w:r>
      <w:proofErr w:type="spellEnd"/>
      <w:r w:rsidR="002B3BE9">
        <w:t>, valamint az anaerob degradáció</w:t>
      </w:r>
      <w:proofErr w:type="gramEnd"/>
      <w:r w:rsidR="002B3BE9">
        <w:t xml:space="preserve"> </w:t>
      </w:r>
      <w:r w:rsidR="0085046E">
        <w:fldChar w:fldCharType="begin" w:fldLock="1"/>
      </w:r>
      <w:r w:rsidR="009974CC">
        <w:instrText>ADDIN CSL_CITATION {"citationItems":[{"id":"ITEM-1","itemData":{"DOI":"10.1016/j.biotechadv.2018.01.011","ISSN":"07349750","PMID":"29360505","abstract":"Biogas production is an established sustainable process for simultaneous generation of renewable energy and treatment of organic wastes. The increasing interest of utilizing biogas as substitute to natural gas or its exploitation as transport fuel opened new avenues in the development of biogas upgrading techniques. The present work is a critical review that summarizes state-of-the-art technologies for biogas upgrading and enhancement with particular attention to the emerging biological methanation processes. The review includes comprehensive description of the main principles of various biogas upgrading methodologies, scientific and technical outcomes related to their biomethanation efficiency, challenges that have to be addressed for further development and incentives and feasibility of the upgrading concepts.","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Advances","id":"ITEM-1","issue":"2","issued":{"date-parts":[["2018"]]},"page":"452-466","publisher":"Elsevier","title":"Biogas upgrading and utilization: Current status and perspectives","type":"article-journal","volume":"36"},"uris":["http://www.mendeley.com/documents/?uuid=b6a74298-5bb5-4894-a6a4-2d49baa948d5"]}],"mendeley":{"formattedCitation":"[32]","plainTextFormattedCitation":"[32]","previouslyFormattedCitation":"[31]"},"properties":{"noteIndex":0},"schema":"https://github.com/citation-style-language/schema/raw/master/csl-citation.json"}</w:instrText>
      </w:r>
      <w:r w:rsidR="0085046E">
        <w:fldChar w:fldCharType="separate"/>
      </w:r>
      <w:r w:rsidR="009974CC" w:rsidRPr="009974CC">
        <w:rPr>
          <w:noProof/>
        </w:rPr>
        <w:t>[32]</w:t>
      </w:r>
      <w:r w:rsidR="0085046E">
        <w:fldChar w:fldCharType="end"/>
      </w:r>
      <w:r w:rsidR="002B3BE9">
        <w:t xml:space="preserve"> egy reaktorban játszódik le, nincs szükség </w:t>
      </w:r>
      <w:r w:rsidR="007D1625">
        <w:t>külön reakció edény</w:t>
      </w:r>
      <w:r w:rsidR="002B3BE9">
        <w:t xml:space="preserve">re. </w:t>
      </w:r>
      <w:r w:rsidR="007D1625">
        <w:t xml:space="preserve">A </w:t>
      </w:r>
      <w:proofErr w:type="gramStart"/>
      <w:r>
        <w:t>fermentációs</w:t>
      </w:r>
      <w:proofErr w:type="gramEnd"/>
      <w:r>
        <w:t xml:space="preserve"> paraméterek megfelelő értéken tartása mellett, valamint a </w:t>
      </w:r>
      <w:r w:rsidR="007D1625">
        <w:t>H</w:t>
      </w:r>
      <w:r w:rsidR="007D1625" w:rsidRPr="007A66FF">
        <w:rPr>
          <w:vertAlign w:val="subscript"/>
        </w:rPr>
        <w:t>2</w:t>
      </w:r>
      <w:r w:rsidR="007D1625">
        <w:t xml:space="preserve"> megfelelő ütemű</w:t>
      </w:r>
      <w:r>
        <w:t xml:space="preserve"> </w:t>
      </w:r>
      <w:r w:rsidR="007D1625">
        <w:t>adagolásával megközelítőleg 99%-</w:t>
      </w:r>
      <w:proofErr w:type="spellStart"/>
      <w:r w:rsidR="007D1625">
        <w:t>os</w:t>
      </w:r>
      <w:proofErr w:type="spellEnd"/>
      <w:r w:rsidR="007D1625">
        <w:t xml:space="preserve"> CO</w:t>
      </w:r>
      <w:r w:rsidR="007D1625" w:rsidRPr="00006783">
        <w:rPr>
          <w:vertAlign w:val="subscript"/>
        </w:rPr>
        <w:t>2</w:t>
      </w:r>
      <w:r w:rsidR="007D1625">
        <w:t xml:space="preserve"> konverzió érhető el</w:t>
      </w:r>
      <w:r w:rsidR="00006783">
        <w:t>, azonban a mikrobiológiai rendszerek érzékenyek a H</w:t>
      </w:r>
      <w:r w:rsidR="00006783" w:rsidRPr="00006783">
        <w:rPr>
          <w:vertAlign w:val="subscript"/>
        </w:rPr>
        <w:t>2</w:t>
      </w:r>
      <w:r w:rsidR="00006783">
        <w:t xml:space="preserve"> adagolásra, aminek szabályozása a nagy, gyakran 2-3000 m</w:t>
      </w:r>
      <w:r w:rsidR="00006783" w:rsidRPr="00006783">
        <w:rPr>
          <w:vertAlign w:val="superscript"/>
        </w:rPr>
        <w:t>3</w:t>
      </w:r>
      <w:r w:rsidR="00006783">
        <w:t xml:space="preserve">-es </w:t>
      </w:r>
      <w:r w:rsidR="00006783" w:rsidRPr="00006783">
        <w:t>biogáz üzemi reaktorokban</w:t>
      </w:r>
      <w:r w:rsidR="00006783">
        <w:t xml:space="preserve"> nehézkes lehet, így ez a megoldás nem hatékony.</w:t>
      </w:r>
    </w:p>
    <w:p w:rsidR="00F251EE" w:rsidRDefault="007D1625" w:rsidP="00F251EE">
      <w:pPr>
        <w:jc w:val="both"/>
      </w:pPr>
      <w:r>
        <w:t xml:space="preserve">Az ex-situ technológiák lényege, hogy a </w:t>
      </w:r>
      <w:proofErr w:type="spellStart"/>
      <w:r>
        <w:t>PtG</w:t>
      </w:r>
      <w:proofErr w:type="spellEnd"/>
      <w:r>
        <w:t xml:space="preserve"> reakció egy külön</w:t>
      </w:r>
      <w:r w:rsidR="008C7F3B">
        <w:t xml:space="preserve"> reaktorban zajlik. Az eljárás előnye, hogy a CO</w:t>
      </w:r>
      <w:r w:rsidR="008C7F3B" w:rsidRPr="008C7F3B">
        <w:rPr>
          <w:vertAlign w:val="subscript"/>
        </w:rPr>
        <w:t>2</w:t>
      </w:r>
      <w:r w:rsidR="008C7F3B">
        <w:t xml:space="preserve"> származhat </w:t>
      </w:r>
      <w:r w:rsidR="008C7F3B" w:rsidRPr="008C7F3B">
        <w:t xml:space="preserve">füstgázból, depónia gázból, biogázból </w:t>
      </w:r>
      <w:r w:rsidR="008C7F3B">
        <w:t>vagy</w:t>
      </w:r>
      <w:r w:rsidR="008C7F3B" w:rsidRPr="008C7F3B">
        <w:t xml:space="preserve"> szintézis gázból</w:t>
      </w:r>
      <w:r w:rsidR="008C7F3B">
        <w:t xml:space="preserve"> is, valamint, hogy a H</w:t>
      </w:r>
      <w:r w:rsidR="008C7F3B" w:rsidRPr="00BD6B55">
        <w:rPr>
          <w:vertAlign w:val="subscript"/>
        </w:rPr>
        <w:t>2</w:t>
      </w:r>
      <w:r w:rsidR="008C7F3B">
        <w:t xml:space="preserve"> bevitelnél nem kell figyelembe venni az anaerob degradációért felelős törzseket, csak a </w:t>
      </w:r>
      <w:proofErr w:type="spellStart"/>
      <w:r w:rsidR="006207B8">
        <w:t>hidrogenotróf</w:t>
      </w:r>
      <w:proofErr w:type="spellEnd"/>
      <w:r w:rsidR="006207B8">
        <w:t xml:space="preserve"> </w:t>
      </w:r>
      <w:proofErr w:type="spellStart"/>
      <w:r w:rsidR="006207B8">
        <w:t>metanogéneket</w:t>
      </w:r>
      <w:proofErr w:type="spellEnd"/>
      <w:r w:rsidR="006207B8">
        <w:t>. Az eljárás hátránya a</w:t>
      </w:r>
      <w:r w:rsidR="00BD6B55">
        <w:t>z</w:t>
      </w:r>
      <w:r w:rsidR="006207B8">
        <w:t xml:space="preserve"> </w:t>
      </w:r>
      <w:r w:rsidR="00BD6B55">
        <w:t xml:space="preserve">újabb reaktor edény miatti </w:t>
      </w:r>
      <w:r w:rsidR="006207B8">
        <w:t>beruházási költség</w:t>
      </w:r>
      <w:r w:rsidR="00BD6B55">
        <w:t xml:space="preserve">többlet. </w:t>
      </w:r>
      <w:proofErr w:type="gramStart"/>
      <w:r>
        <w:t>A legnagyobb kihívást a</w:t>
      </w:r>
      <w:r w:rsidR="00BD6B55">
        <w:t xml:space="preserve">z </w:t>
      </w:r>
      <w:r>
        <w:t>oldott</w:t>
      </w:r>
      <w:r w:rsidR="00BD6B55">
        <w:t xml:space="preserve"> </w:t>
      </w:r>
      <w:r>
        <w:t>H</w:t>
      </w:r>
      <w:r w:rsidRPr="00BD6B55">
        <w:rPr>
          <w:vertAlign w:val="subscript"/>
        </w:rPr>
        <w:t>2</w:t>
      </w:r>
      <w:r>
        <w:t xml:space="preserve"> koncentráció növelés</w:t>
      </w:r>
      <w:r w:rsidR="00BD6B55">
        <w:t>e jelenti, amit</w:t>
      </w:r>
      <w:r>
        <w:t xml:space="preserve"> intenzív keveréssel, a gáz-folyadék felület</w:t>
      </w:r>
      <w:r w:rsidR="00BD6B55">
        <w:t xml:space="preserve"> </w:t>
      </w:r>
      <w:r>
        <w:t>növelésével és/vagy a H</w:t>
      </w:r>
      <w:r w:rsidRPr="00351AA5">
        <w:rPr>
          <w:vertAlign w:val="subscript"/>
        </w:rPr>
        <w:t>2</w:t>
      </w:r>
      <w:r>
        <w:t xml:space="preserve"> nyomás fokozásával lehet elérni</w:t>
      </w:r>
      <w:proofErr w:type="gramEnd"/>
      <w:r w:rsidR="00351AA5">
        <w:t xml:space="preserve"> </w:t>
      </w:r>
      <w:r w:rsidR="00351AA5">
        <w:fldChar w:fldCharType="begin" w:fldLock="1"/>
      </w:r>
      <w:r w:rsidR="009974CC">
        <w:instrText>ADDIN CSL_CITATION {"citationItems":[{"id":"ITEM-1","itemData":{"abstract":"A Power-to-Gas (P2G) technológia a kémiai energiatárolás egy viszonylag új formája, amiben a fel nem használt villamos energiát üzemanyaggá, esetünkben metánná alakítják. Ennek az átalakításnak két útja ismert; egy tisztán kémiai, ami magas hőmérsékleten és nyomáson működik, valamint egy mikrobiológiai, ahol mind a nyomás, mind a hőmérséklet – és így összességében az energiaigény – jóval alacsonyabb. Ebben a cikkben egy komplex kutatási és innovációs központ tervét mutatjuk be, amely egy Power-to-Gas erőmű köré épülne. Bemutatjuk és elemezzük a különböző kapcsolódó egységeket, mint pl. az energiatároló egységek, a hulladékhő-tárolók, a hulladékhőhasznosító munkaszolgáltató körfolyamatok, a különböző alapon működő gáztárolók stb.","author":[{"dropping-particle":"","family":"Szuhaj","given":"Márk","non-dropping-particle":"","parse-names":false,"suffix":""},{"dropping-particle":"","family":"Bagi","given":"Zoltán","non-dropping-particle":"","parse-names":false,"suffix":""},{"dropping-particle":"","family":"Kovács L.","given":"Kornél","non-dropping-particle":"","parse-names":false,"suffix":""}],"container-title":"ENERGIAGAZDÁLKODÁS","id":"ITEM-1","issue":"special issue","issued":{"date-parts":[["2019"]]},"page":"13-16","title":"A „Power-to-Gas” és kapcsolódó biogáz tisztítási biotechnológiai eljárások","type":"article-journal","volume":"60"},"uris":["http://www.mendeley.com/documents/?uuid=460943a5-ce0e-4ce7-a820-cfb5bab7080c"]}],"mendeley":{"formattedCitation":"[31]","plainTextFormattedCitation":"[31]","previouslyFormattedCitation":"[30]"},"properties":{"noteIndex":0},"schema":"https://github.com/citation-style-language/schema/raw/master/csl-citation.json"}</w:instrText>
      </w:r>
      <w:r w:rsidR="00351AA5">
        <w:fldChar w:fldCharType="separate"/>
      </w:r>
      <w:r w:rsidR="009974CC" w:rsidRPr="009974CC">
        <w:rPr>
          <w:noProof/>
        </w:rPr>
        <w:t>[31]</w:t>
      </w:r>
      <w:r w:rsidR="00351AA5">
        <w:fldChar w:fldCharType="end"/>
      </w:r>
      <w:r>
        <w:t>.</w:t>
      </w:r>
      <w:r w:rsidR="00351AA5">
        <w:t xml:space="preserve"> </w:t>
      </w:r>
      <w:r w:rsidR="00F251EE">
        <w:t>A technológiával jellemzően 70-98% közötti CH</w:t>
      </w:r>
      <w:r w:rsidR="00F251EE" w:rsidRPr="00F251EE">
        <w:rPr>
          <w:vertAlign w:val="subscript"/>
        </w:rPr>
        <w:t>4</w:t>
      </w:r>
      <w:r w:rsidR="00F251EE">
        <w:t xml:space="preserve"> </w:t>
      </w:r>
      <w:proofErr w:type="gramStart"/>
      <w:r w:rsidR="00F251EE">
        <w:t>koncentráció</w:t>
      </w:r>
      <w:proofErr w:type="gramEnd"/>
      <w:r w:rsidR="00F251EE">
        <w:t xml:space="preserve"> érhető el.</w:t>
      </w:r>
    </w:p>
    <w:p w:rsidR="00CF6DAF" w:rsidRDefault="00D975FC" w:rsidP="00D975FC">
      <w:pPr>
        <w:jc w:val="both"/>
      </w:pPr>
      <w:proofErr w:type="gramStart"/>
      <w:r>
        <w:t>Hibrid</w:t>
      </w:r>
      <w:proofErr w:type="gramEnd"/>
      <w:r>
        <w:t xml:space="preserve"> technológia esetén a biológiai </w:t>
      </w:r>
      <w:proofErr w:type="spellStart"/>
      <w:r>
        <w:t>metanizáció</w:t>
      </w:r>
      <w:proofErr w:type="spellEnd"/>
      <w:r>
        <w:t xml:space="preserve"> az ex-situ technológiához hasonlóan külön reakció edényben játszódik le, </w:t>
      </w:r>
      <w:r w:rsidR="00261726">
        <w:t xml:space="preserve">de az in-situ technológiához hasonlóan </w:t>
      </w:r>
      <w:r>
        <w:t>biogáz termelő</w:t>
      </w:r>
      <w:r w:rsidR="00261726">
        <w:t xml:space="preserve"> anaerob baktériumok jelenléte mellett. Előnye az in-situ eljáráshoz képest, hogy a tartály mérete kisebb, így a szabályozás </w:t>
      </w:r>
      <w:r w:rsidR="00261726">
        <w:lastRenderedPageBreak/>
        <w:t>jobban kézben tartható.</w:t>
      </w:r>
      <w:r w:rsidR="002079EE">
        <w:t xml:space="preserve"> A </w:t>
      </w:r>
      <w:proofErr w:type="gramStart"/>
      <w:r w:rsidR="002079EE">
        <w:t>módszer tervezési</w:t>
      </w:r>
      <w:proofErr w:type="gramEnd"/>
      <w:r w:rsidR="002079EE">
        <w:t xml:space="preserve"> stádiumban van, </w:t>
      </w:r>
      <w:r w:rsidR="002079EE" w:rsidRPr="002079EE">
        <w:t>közvetlen kísérleti eredményeket még nem publikáltak.</w:t>
      </w:r>
    </w:p>
    <w:p w:rsidR="007D1625" w:rsidRPr="00261726" w:rsidRDefault="007D1625" w:rsidP="004677BC">
      <w:pPr>
        <w:pStyle w:val="Heading3"/>
      </w:pPr>
      <w:proofErr w:type="spellStart"/>
      <w:r w:rsidRPr="00261726">
        <w:t>Fotoautotróf</w:t>
      </w:r>
      <w:proofErr w:type="spellEnd"/>
      <w:r w:rsidRPr="00261726">
        <w:t xml:space="preserve"> módszerek</w:t>
      </w:r>
    </w:p>
    <w:p w:rsidR="007D1625" w:rsidRDefault="007D1625" w:rsidP="005968DC">
      <w:pPr>
        <w:jc w:val="both"/>
      </w:pPr>
      <w:r>
        <w:t>A fotoszintetikus biogáz tisztítás során a biogázból kivonjuk a CO</w:t>
      </w:r>
      <w:r w:rsidRPr="00293911">
        <w:rPr>
          <w:vertAlign w:val="subscript"/>
        </w:rPr>
        <w:t>2</w:t>
      </w:r>
      <w:r>
        <w:t>-t,</w:t>
      </w:r>
      <w:r w:rsidR="005968DC">
        <w:t xml:space="preserve"> </w:t>
      </w:r>
      <w:r>
        <w:t>így CH</w:t>
      </w:r>
      <w:r w:rsidRPr="00293911">
        <w:rPr>
          <w:vertAlign w:val="subscript"/>
        </w:rPr>
        <w:t>4</w:t>
      </w:r>
      <w:r>
        <w:t>-ben gazdag gázelegyet kapunk. A módszer előnye, hogy</w:t>
      </w:r>
      <w:r w:rsidR="005968DC">
        <w:t xml:space="preserve"> </w:t>
      </w:r>
      <w:r>
        <w:t xml:space="preserve">a </w:t>
      </w:r>
      <w:proofErr w:type="spellStart"/>
      <w:r>
        <w:t>fotoszintetizáló</w:t>
      </w:r>
      <w:proofErr w:type="spellEnd"/>
      <w:r>
        <w:t xml:space="preserve"> szervezetek (algák, </w:t>
      </w:r>
      <w:proofErr w:type="spellStart"/>
      <w:r>
        <w:t>cianobaktériumok</w:t>
      </w:r>
      <w:proofErr w:type="spellEnd"/>
      <w:r>
        <w:t>) a H</w:t>
      </w:r>
      <w:r w:rsidRPr="00293911">
        <w:rPr>
          <w:vertAlign w:val="subscript"/>
        </w:rPr>
        <w:t>2</w:t>
      </w:r>
      <w:r>
        <w:t>S-t is</w:t>
      </w:r>
      <w:r w:rsidR="005968DC">
        <w:t xml:space="preserve"> </w:t>
      </w:r>
      <w:r>
        <w:t xml:space="preserve">megkötik tovább tisztítva a </w:t>
      </w:r>
      <w:proofErr w:type="spellStart"/>
      <w:r>
        <w:t>biometánt</w:t>
      </w:r>
      <w:proofErr w:type="spellEnd"/>
      <w:r>
        <w:t>. Alapvetően két típusa létezik</w:t>
      </w:r>
      <w:r w:rsidR="005968DC">
        <w:t xml:space="preserve"> </w:t>
      </w:r>
      <w:r>
        <w:t xml:space="preserve">a </w:t>
      </w:r>
      <w:proofErr w:type="spellStart"/>
      <w:r>
        <w:t>fotobioreaktor</w:t>
      </w:r>
      <w:proofErr w:type="spellEnd"/>
      <w:r>
        <w:t xml:space="preserve"> rendszereknek: a zárt (cső vagy téglatest formában)</w:t>
      </w:r>
      <w:r w:rsidR="005968DC">
        <w:t xml:space="preserve"> </w:t>
      </w:r>
      <w:r>
        <w:t>és nyitott (</w:t>
      </w:r>
      <w:proofErr w:type="spellStart"/>
      <w:r>
        <w:t>high</w:t>
      </w:r>
      <w:proofErr w:type="spellEnd"/>
      <w:r>
        <w:t xml:space="preserve"> </w:t>
      </w:r>
      <w:proofErr w:type="spellStart"/>
      <w:r>
        <w:t>rate</w:t>
      </w:r>
      <w:proofErr w:type="spellEnd"/>
      <w:r>
        <w:t xml:space="preserve"> </w:t>
      </w:r>
      <w:proofErr w:type="spellStart"/>
      <w:r>
        <w:t>algal</w:t>
      </w:r>
      <w:proofErr w:type="spellEnd"/>
      <w:r>
        <w:t xml:space="preserve"> </w:t>
      </w:r>
      <w:proofErr w:type="spellStart"/>
      <w:r>
        <w:t>ponds</w:t>
      </w:r>
      <w:proofErr w:type="spellEnd"/>
      <w:r>
        <w:t>). A zárt rendszerek hatékonysága,</w:t>
      </w:r>
      <w:r w:rsidR="005968DC">
        <w:t xml:space="preserve"> </w:t>
      </w:r>
      <w:r>
        <w:t>kis hely igénye és vízszükséglete kedvezőbb a nyitott</w:t>
      </w:r>
      <w:r w:rsidR="005968DC">
        <w:t xml:space="preserve"> </w:t>
      </w:r>
      <w:r>
        <w:t>rendszerekkel szemben, de a felállításához és működtetéséhez</w:t>
      </w:r>
      <w:r w:rsidR="005968DC">
        <w:t xml:space="preserve"> </w:t>
      </w:r>
      <w:r>
        <w:t>szükséges befektetések mértéke és energiaszükséglete nagyban</w:t>
      </w:r>
      <w:r w:rsidR="005968DC">
        <w:t xml:space="preserve"> </w:t>
      </w:r>
      <w:r>
        <w:t>megdrágítja a technológiát. Ezzel szemben a nyitott rendszerek</w:t>
      </w:r>
      <w:r w:rsidR="005968DC">
        <w:t xml:space="preserve"> </w:t>
      </w:r>
      <w:r>
        <w:t>igen alacsony beruházási és fenntartási költséget igényelnek,</w:t>
      </w:r>
      <w:r w:rsidR="005968DC">
        <w:t xml:space="preserve"> </w:t>
      </w:r>
      <w:r>
        <w:t>azonban kevésbé hatékony CO</w:t>
      </w:r>
      <w:r w:rsidRPr="00293911">
        <w:rPr>
          <w:vertAlign w:val="subscript"/>
        </w:rPr>
        <w:t>2</w:t>
      </w:r>
      <w:r>
        <w:t xml:space="preserve"> felvétellel rendelkeznek. </w:t>
      </w:r>
      <w:proofErr w:type="gramStart"/>
      <w:r>
        <w:t>Mindkét</w:t>
      </w:r>
      <w:r w:rsidR="005968DC">
        <w:t xml:space="preserve"> </w:t>
      </w:r>
      <w:r>
        <w:t>rendszer képes a biogázban a CO</w:t>
      </w:r>
      <w:r w:rsidRPr="00293911">
        <w:rPr>
          <w:vertAlign w:val="subscript"/>
        </w:rPr>
        <w:t>2</w:t>
      </w:r>
      <w:r>
        <w:t xml:space="preserve"> koncentrációját az előírt 2-6%-</w:t>
      </w:r>
      <w:proofErr w:type="spellStart"/>
      <w:r>
        <w:t>ra</w:t>
      </w:r>
      <w:proofErr w:type="spellEnd"/>
      <w:r>
        <w:t xml:space="preserve"> csökkenteni</w:t>
      </w:r>
      <w:proofErr w:type="gramEnd"/>
      <w:r>
        <w:t xml:space="preserve"> </w:t>
      </w:r>
      <w:r w:rsidR="002F2295">
        <w:fldChar w:fldCharType="begin" w:fldLock="1"/>
      </w:r>
      <w:r w:rsidR="009974CC">
        <w:instrText>ADDIN CSL_CITATION {"citationItems":[{"id":"ITEM-1","itemData":{"abstract":"A Power-to-Gas (P2G) technológia a kémiai energiatárolás egy viszonylag új formája, amiben a fel nem használt villamos energiát üzemanyaggá, esetünkben metánná alakítják. Ennek az átalakításnak két útja ismert; egy tisztán kémiai, ami magas hőmérsékleten és nyomáson működik, valamint egy mikrobiológiai, ahol mind a nyomás, mind a hőmérséklet – és így összességében az energiaigény – jóval alacsonyabb. Ebben a cikkben egy komplex kutatási és innovációs központ tervét mutatjuk be, amely egy Power-to-Gas erőmű köré épülne. Bemutatjuk és elemezzük a különböző kapcsolódó egységeket, mint pl. az energiatároló egységek, a hulladékhő-tárolók, a hulladékhőhasznosító munkaszolgáltató körfolyamatok, a különböző alapon működő gáztárolók stb.","author":[{"dropping-particle":"","family":"Szuhaj","given":"Márk","non-dropping-particle":"","parse-names":false,"suffix":""},{"dropping-particle":"","family":"Bagi","given":"Zoltán","non-dropping-particle":"","parse-names":false,"suffix":""},{"dropping-particle":"","family":"Kovács L.","given":"Kornél","non-dropping-particle":"","parse-names":false,"suffix":""}],"container-title":"ENERGIAGAZDÁLKODÁS","id":"ITEM-1","issue":"special issue","issued":{"date-parts":[["2019"]]},"page":"13-16","title":"A „Power-to-Gas” és kapcsolódó biogáz tisztítási biotechnológiai eljárások","type":"article-journal","volume":"60"},"uris":["http://www.mendeley.com/documents/?uuid=460943a5-ce0e-4ce7-a820-cfb5bab7080c"]}],"mendeley":{"formattedCitation":"[31]","plainTextFormattedCitation":"[31]","previouslyFormattedCitation":"[30]"},"properties":{"noteIndex":0},"schema":"https://github.com/citation-style-language/schema/raw/master/csl-citation.json"}</w:instrText>
      </w:r>
      <w:r w:rsidR="002F2295">
        <w:fldChar w:fldCharType="separate"/>
      </w:r>
      <w:r w:rsidR="009974CC" w:rsidRPr="009974CC">
        <w:rPr>
          <w:noProof/>
        </w:rPr>
        <w:t>[31]</w:t>
      </w:r>
      <w:r w:rsidR="002F2295">
        <w:fldChar w:fldCharType="end"/>
      </w:r>
      <w:r w:rsidR="0085046E">
        <w:t>,</w:t>
      </w:r>
      <w:r w:rsidR="0085046E" w:rsidRPr="0085046E">
        <w:t xml:space="preserve"> </w:t>
      </w:r>
      <w:r w:rsidR="0085046E">
        <w:fldChar w:fldCharType="begin" w:fldLock="1"/>
      </w:r>
      <w:r w:rsidR="009974CC">
        <w:instrText>ADDIN CSL_CITATION {"citationItems":[{"id":"ITEM-1","itemData":{"DOI":"10.1016/j.biotechadv.2018.01.011","ISSN":"07349750","PMID":"29360505","abstract":"Biogas production is an established sustainable process for simultaneous generation of renewable energy and treatment of organic wastes. The increasing interest of utilizing biogas as substitute to natural gas or its exploitation as transport fuel opened new avenues in the development of biogas upgrading techniques. The present work is a critical review that summarizes state-of-the-art technologies for biogas upgrading and enhancement with particular attention to the emerging biological methanation processes. The review includes comprehensive description of the main principles of various biogas upgrading methodologies, scientific and technical outcomes related to their biomethanation efficiency, challenges that have to be addressed for further development and incentives and feasibility of the upgrading concepts.","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Advances","id":"ITEM-1","issue":"2","issued":{"date-parts":[["2018"]]},"page":"452-466","publisher":"Elsevier","title":"Biogas upgrading and utilization: Current status and perspectives","type":"article-journal","volume":"36"},"uris":["http://www.mendeley.com/documents/?uuid=b6a74298-5bb5-4894-a6a4-2d49baa948d5"]}],"mendeley":{"formattedCitation":"[32]","plainTextFormattedCitation":"[32]","previouslyFormattedCitation":"[31]"},"properties":{"noteIndex":0},"schema":"https://github.com/citation-style-language/schema/raw/master/csl-citation.json"}</w:instrText>
      </w:r>
      <w:r w:rsidR="0085046E">
        <w:fldChar w:fldCharType="separate"/>
      </w:r>
      <w:r w:rsidR="009974CC" w:rsidRPr="009974CC">
        <w:rPr>
          <w:noProof/>
        </w:rPr>
        <w:t>[32]</w:t>
      </w:r>
      <w:r w:rsidR="0085046E">
        <w:fldChar w:fldCharType="end"/>
      </w:r>
      <w:r w:rsidR="0085046E">
        <w:t xml:space="preserve">, </w:t>
      </w:r>
      <w:r w:rsidR="0085046E">
        <w:fldChar w:fldCharType="begin" w:fldLock="1"/>
      </w:r>
      <w:r w:rsidR="009974CC">
        <w:instrText>ADDIN CSL_CITATION {"citationItems":[{"id":"ITEM-1","itemData":{"DOI":"10.1007/s11157-015-9379-1","ISSN":"15729826","abstract":"The lack of tax incentives for biomethane use requires the optimization of both biogas production and upgrading in order to allow the full exploitation of this renewable energy source. The large number of biomethane contaminants present in biogas (CO2, H2S, H2O, N2, O2, methyl siloxanes, halocarbons) has resulted in complex sequences of upgrading processes based on conventional physical/chemical technologies capable of providing CH4 purities of 88–98 % and H2S, halocarbons and methyl siloxane removals &gt;99 %. Unfortunately, the high consumption of energy and chemicals limits nowadays the environmental and economic sustainability of conventional biogas upgrading technologies. In this context, biotechnologies can offer a low cost and environmentally friendly alternative to physical/chemical biogas upgrading. Thus, biotechnologies such as H2-based chemoautrophic CO2 bioconversion to CH4, microalgae-based CO2 fixation, enzymatic CO2 dissolution, fermentative CO2 reduction and digestion with in situ CO2 desorption have consistently shown CO2 removals of 80–100 % and CH4 purities of 88–100 %, while allowing the conversion of CO2 into valuable bio-products and even a simultaneous H2S removal. Likewise, H2S removals &gt;99 % are typically reported in aerobic and anoxic biotrickling filters, algal-bacterial photobioreactors and digesters under microaerophilic conditions. Even, methyl siloxanes and halocarbons are potentially subject to aerobic and anaerobic biodegradation. However, despite these promising results, most biotechnologies still require further optimization and scale-up in order to compete with their physical/chemical counterparts. This review critically presents and discusses the state of the art of biogas upgrading technologies with special emphasis on biotechnologies for CO2, H2S, siloxane and halocarbon removal.","author":[{"dropping-particle":"","family":"Muñoz","given":"Raúl","non-dropping-particle":"","parse-names":false,"suffix":""},{"dropping-particle":"","family":"Meier","given":"Leslie","non-dropping-particle":"","parse-names":false,"suffix":""},{"dropping-particle":"","family":"Diaz","given":"Israel","non-dropping-particle":"","parse-names":false,"suffix":""},{"dropping-particle":"","family":"Jeison","given":"David","non-dropping-particle":"","parse-names":false,"suffix":""}],"container-title":"Reviews in Environmental Science and Biotechnology","id":"ITEM-1","issue":"4","issued":{"date-parts":[["2015"]]},"page":"727-759","title":"A review on the state-of-the-art of physical/chemical and biological technologies for biogas upgrading","type":"article-journal","volume":"14"},"uris":["http://www.mendeley.com/documents/?uuid=957a3ebc-a32f-4f80-bedc-1da5606e6e16"]}],"mendeley":{"formattedCitation":"[33]","plainTextFormattedCitation":"[33]","previouslyFormattedCitation":"[32]"},"properties":{"noteIndex":0},"schema":"https://github.com/citation-style-language/schema/raw/master/csl-citation.json"}</w:instrText>
      </w:r>
      <w:r w:rsidR="0085046E">
        <w:fldChar w:fldCharType="separate"/>
      </w:r>
      <w:r w:rsidR="009974CC" w:rsidRPr="009974CC">
        <w:rPr>
          <w:noProof/>
        </w:rPr>
        <w:t>[33]</w:t>
      </w:r>
      <w:r w:rsidR="0085046E">
        <w:fldChar w:fldCharType="end"/>
      </w:r>
      <w:r w:rsidR="005968DC">
        <w:t>.</w:t>
      </w:r>
    </w:p>
    <w:p w:rsidR="00841AA4" w:rsidRPr="001614B2" w:rsidRDefault="00CC7EBF" w:rsidP="00841AA4">
      <w:pPr>
        <w:pStyle w:val="Heading1"/>
        <w:rPr>
          <w:color w:val="2F5496" w:themeColor="accent5" w:themeShade="BF"/>
        </w:rPr>
      </w:pPr>
      <w:r w:rsidRPr="001614B2">
        <w:t>Hatásfok-növelés hulladékhő-hasznosítással</w:t>
      </w:r>
    </w:p>
    <w:p w:rsidR="00841AA4" w:rsidRPr="004A6939" w:rsidRDefault="00CC7EBF" w:rsidP="00841AA4">
      <w:pPr>
        <w:jc w:val="both"/>
      </w:pPr>
      <w:r w:rsidRPr="004A6939">
        <w:t>Egy villamosenergia-tároló berendezés hatásfoka a kinyert villamosenergia és a betáplált villamosenergia hányadosa.</w:t>
      </w:r>
      <w:r w:rsidR="00841AA4" w:rsidRPr="004A6939">
        <w:t xml:space="preserve"> </w:t>
      </w:r>
      <w:r w:rsidRPr="004A6939">
        <w:t>Ez sohasem 100 %, mindig vannak veszteségek. Erre egy, talán mindenki által ismert példa az akkumulátorok (pl. mobiltelefon) töltésekor tapasztat melegedés, amikor jól mérhető-érzékelhető a disszipációs hő formájában távozó veszteség. Veszteség felléphet a villamosenergia betárolásakor, a terheletlen állapotú tároláskor</w:t>
      </w:r>
      <w:r w:rsidR="004A6939" w:rsidRPr="004A6939">
        <w:t>,</w:t>
      </w:r>
      <w:r w:rsidRPr="004A6939">
        <w:t xml:space="preserve"> illetve a kisütéskor. </w:t>
      </w:r>
      <w:proofErr w:type="gramStart"/>
      <w:r w:rsidRPr="004A6939">
        <w:t xml:space="preserve">Gyakran eltekintenek a terheletlen állapotban fellépő, időfüggő veszteségtől, bár épp ennek alacsony volta az, ami a </w:t>
      </w:r>
      <w:proofErr w:type="spellStart"/>
      <w:r w:rsidRPr="004A6939">
        <w:t>PtM</w:t>
      </w:r>
      <w:proofErr w:type="spellEnd"/>
      <w:r w:rsidRPr="004A6939">
        <w:t xml:space="preserve"> technológiát szezonális tárolásnál versenyképessé teszi az akkumulátoros vagy hidrogénes tárolási módokkal </w:t>
      </w:r>
      <w:r w:rsidR="004A6939" w:rsidRPr="004A6939">
        <w:t>szemben</w:t>
      </w:r>
      <w:proofErr w:type="gramEnd"/>
      <w:r w:rsidR="00A91220">
        <w:t xml:space="preserve"> </w:t>
      </w:r>
      <w:r w:rsidR="00A91220">
        <w:fldChar w:fldCharType="begin" w:fldLock="1"/>
      </w:r>
      <w:r w:rsidR="009974CC">
        <w:instrText>ADDIN CSL_CITATION {"citationItems":[{"id":"ITEM-1","itemData":{"DOI":"10.3390/en14113265","ISSN":"19961073","abstract":"The time-range of applicability of various energy-storage technologies are limited by selfdischarge and other inevitable losses. While batteries and hydrogen are useful for storage in a timespan ranging from hours to several days or even weeks, for seasonal or multi-seasonal storage, only some traditional and quite costly methods can be used (like pumped-storage plants, Compressed Air Energy Storage or energy tower). In this paper, we aim to show that while the efficiency of energy recovery of Power-to-Methane technology is lower than for several other methods, due to the low self-discharge and negligible standby losses, it can be a suitable and cost-effective solution for seasonal and multi-seasonal energy storage.","author":[{"dropping-particle":"","family":"Kummer","given":"Kristóf","non-dropping-particle":"","parse-names":false,"suffix":""},{"dropping-particle":"","family":"Imre","given":"Attila R.","non-dropping-particle":"","parse-names":false,"suffix":""}],"container-title":"Energies","id":"ITEM-1","issue":"11","issued":{"date-parts":[["2021"]]},"title":"Seasonal and multi-seasonal energy storage by power-to-methane technology","type":"article-journal","volume":"14"},"uris":["http://www.mendeley.com/documents/?uuid=f993bf9b-d342-4022-9d38-9b466a6585c3"]}],"mendeley":{"formattedCitation":"[34]","plainTextFormattedCitation":"[34]","previouslyFormattedCitation":"[33]"},"properties":{"noteIndex":0},"schema":"https://github.com/citation-style-language/schema/raw/master/csl-citation.json"}</w:instrText>
      </w:r>
      <w:r w:rsidR="00A91220">
        <w:fldChar w:fldCharType="separate"/>
      </w:r>
      <w:r w:rsidR="009974CC" w:rsidRPr="009974CC">
        <w:rPr>
          <w:noProof/>
        </w:rPr>
        <w:t>[34]</w:t>
      </w:r>
      <w:r w:rsidR="00A91220">
        <w:fldChar w:fldCharType="end"/>
      </w:r>
      <w:r w:rsidR="00A91220">
        <w:t xml:space="preserve">, </w:t>
      </w:r>
      <w:r w:rsidR="00A91220">
        <w:fldChar w:fldCharType="begin" w:fldLock="1"/>
      </w:r>
      <w:r w:rsidR="009974CC">
        <w:instrText>ADDIN CSL_CITATION {"citationItems":[{"id":"ITEM-1","itemData":{"author":[{"dropping-particle":"","family":"Imre","given":"Attila R.","non-dropping-particle":"","parse-names":false,"suffix":""},{"dropping-particle":"","family":"Kummer","given":"Kristóf","non-dropping-particle":"","parse-names":false,"suffix":""}],"container-title":"ENERGIAGAZDÁLKODÁS","id":"ITEM-1","issue":"6","issued":{"date-parts":[["2021"]]},"page":"2-9","title":"Szezonális és hosszútávú energiatárolási lehetőségek","type":"article-journal","volume":"62"},"uris":["http://www.mendeley.com/documents/?uuid=8104913c-9c41-4410-88ca-66e65fda14c3"]}],"mendeley":{"formattedCitation":"[35]","plainTextFormattedCitation":"[35]","previouslyFormattedCitation":"[34]"},"properties":{"noteIndex":0},"schema":"https://github.com/citation-style-language/schema/raw/master/csl-citation.json"}</w:instrText>
      </w:r>
      <w:r w:rsidR="00A91220">
        <w:fldChar w:fldCharType="separate"/>
      </w:r>
      <w:r w:rsidR="009974CC" w:rsidRPr="009974CC">
        <w:rPr>
          <w:noProof/>
        </w:rPr>
        <w:t>[35]</w:t>
      </w:r>
      <w:r w:rsidR="00A91220">
        <w:fldChar w:fldCharType="end"/>
      </w:r>
      <w:r w:rsidR="00777A8B" w:rsidRPr="004A6939">
        <w:t>. Ebben a könnyen tárgyalható „fél-ideális” esetben a teljes tárolási hatásfok az alábbi formában írható fel:</w:t>
      </w:r>
    </w:p>
    <w:p w:rsidR="00777A8B" w:rsidRPr="004A6939" w:rsidRDefault="00777A8B" w:rsidP="00841AA4">
      <w:pPr>
        <w:jc w:val="both"/>
        <w:rPr>
          <w:rFonts w:eastAsiaTheme="minorEastAsia"/>
        </w:rPr>
      </w:pPr>
      <m:oMathPara>
        <m:oMath>
          <m:r>
            <w:rPr>
              <w:rFonts w:ascii="Cambria Math" w:hAnsi="Cambria Math"/>
            </w:rPr>
            <m:t>η=</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ki</m:t>
                  </m:r>
                </m:sub>
              </m:sSub>
            </m:num>
            <m:den>
              <m:sSub>
                <m:sSubPr>
                  <m:ctrlPr>
                    <w:rPr>
                      <w:rFonts w:ascii="Cambria Math" w:hAnsi="Cambria Math"/>
                      <w:i/>
                    </w:rPr>
                  </m:ctrlPr>
                </m:sSubPr>
                <m:e>
                  <m:r>
                    <w:rPr>
                      <w:rFonts w:ascii="Cambria Math" w:hAnsi="Cambria Math"/>
                    </w:rPr>
                    <m:t>E</m:t>
                  </m:r>
                </m:e>
                <m:sub>
                  <m:r>
                    <w:rPr>
                      <w:rFonts w:ascii="Cambria Math" w:hAnsi="Cambria Math"/>
                    </w:rPr>
                    <m:t>be</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ki</m:t>
                  </m:r>
                </m:sub>
              </m:sSub>
            </m:num>
            <m:den>
              <m:sSub>
                <m:sSubPr>
                  <m:ctrlPr>
                    <w:rPr>
                      <w:rFonts w:ascii="Cambria Math" w:hAnsi="Cambria Math"/>
                      <w:i/>
                    </w:rPr>
                  </m:ctrlPr>
                </m:sSubPr>
                <m:e>
                  <m:r>
                    <w:rPr>
                      <w:rFonts w:ascii="Cambria Math" w:hAnsi="Cambria Math"/>
                    </w:rPr>
                    <m:t>E</m:t>
                  </m:r>
                </m:e>
                <m:sub>
                  <m:r>
                    <w:rPr>
                      <w:rFonts w:ascii="Cambria Math" w:hAnsi="Cambria Math"/>
                    </w:rPr>
                    <m:t>t</m:t>
                  </m:r>
                </m:sub>
              </m:sSub>
            </m:den>
          </m:f>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num>
            <m:den>
              <m:sSub>
                <m:sSubPr>
                  <m:ctrlPr>
                    <w:rPr>
                      <w:rFonts w:ascii="Cambria Math" w:hAnsi="Cambria Math"/>
                      <w:i/>
                    </w:rPr>
                  </m:ctrlPr>
                </m:sSubPr>
                <m:e>
                  <m:r>
                    <w:rPr>
                      <w:rFonts w:ascii="Cambria Math" w:hAnsi="Cambria Math"/>
                    </w:rPr>
                    <m:t>E</m:t>
                  </m:r>
                </m:e>
                <m:sub>
                  <m:r>
                    <w:rPr>
                      <w:rFonts w:ascii="Cambria Math" w:hAnsi="Cambria Math"/>
                    </w:rPr>
                    <m:t>be</m:t>
                  </m:r>
                </m:sub>
              </m:sSub>
            </m:den>
          </m:f>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ki</m:t>
              </m:r>
            </m:sub>
          </m:sSub>
          <m:sSub>
            <m:sSubPr>
              <m:ctrlPr>
                <w:rPr>
                  <w:rFonts w:ascii="Cambria Math" w:hAnsi="Cambria Math"/>
                  <w:i/>
                </w:rPr>
              </m:ctrlPr>
            </m:sSubPr>
            <m:e>
              <m:r>
                <w:rPr>
                  <w:rFonts w:ascii="Cambria Math" w:hAnsi="Cambria Math"/>
                </w:rPr>
                <m:t>η</m:t>
              </m:r>
            </m:e>
            <m:sub>
              <m:r>
                <w:rPr>
                  <w:rFonts w:ascii="Cambria Math" w:hAnsi="Cambria Math"/>
                </w:rPr>
                <m:t>be</m:t>
              </m:r>
            </m:sub>
          </m:sSub>
        </m:oMath>
      </m:oMathPara>
    </w:p>
    <w:p w:rsidR="00777A8B" w:rsidRPr="004A6939" w:rsidRDefault="00777A8B" w:rsidP="00901D5D">
      <w:pPr>
        <w:jc w:val="both"/>
        <w:rPr>
          <w:rFonts w:eastAsiaTheme="minorEastAsia"/>
        </w:rPr>
      </w:pPr>
      <w:proofErr w:type="gramStart"/>
      <w:r w:rsidRPr="004A6939">
        <w:rPr>
          <w:rFonts w:eastAsiaTheme="minorEastAsia"/>
        </w:rPr>
        <w:t>azaz</w:t>
      </w:r>
      <w:proofErr w:type="gramEnd"/>
      <w:r w:rsidRPr="004A6939">
        <w:rPr>
          <w:rFonts w:eastAsiaTheme="minorEastAsia"/>
        </w:rPr>
        <w:t xml:space="preserve"> a </w:t>
      </w:r>
      <w:r w:rsidR="001B3074" w:rsidRPr="004A6939">
        <w:rPr>
          <w:rFonts w:eastAsiaTheme="minorEastAsia"/>
        </w:rPr>
        <w:t xml:space="preserve">tárolási </w:t>
      </w:r>
      <w:r w:rsidRPr="004A6939">
        <w:rPr>
          <w:rFonts w:eastAsiaTheme="minorEastAsia"/>
        </w:rPr>
        <w:t>hatásfo</w:t>
      </w:r>
      <w:r w:rsidR="001B3074" w:rsidRPr="004A6939">
        <w:rPr>
          <w:rFonts w:eastAsiaTheme="minorEastAsia"/>
        </w:rPr>
        <w:t>k (</w:t>
      </w:r>
      <w:r w:rsidR="001B3074" w:rsidRPr="004A6939">
        <w:rPr>
          <w:rFonts w:ascii="Symbol" w:eastAsiaTheme="minorEastAsia" w:hAnsi="Symbol"/>
          <w:i/>
        </w:rPr>
        <w:t></w:t>
      </w:r>
      <w:r w:rsidR="001B3074" w:rsidRPr="004A6939">
        <w:rPr>
          <w:rFonts w:eastAsiaTheme="minorEastAsia"/>
        </w:rPr>
        <w:t>)</w:t>
      </w:r>
      <w:r w:rsidRPr="004A6939">
        <w:rPr>
          <w:rFonts w:eastAsiaTheme="minorEastAsia"/>
        </w:rPr>
        <w:t xml:space="preserve"> a kivehető (</w:t>
      </w:r>
      <w:proofErr w:type="spellStart"/>
      <w:r w:rsidRPr="004A6939">
        <w:rPr>
          <w:rFonts w:eastAsiaTheme="minorEastAsia"/>
          <w:i/>
        </w:rPr>
        <w:t>E</w:t>
      </w:r>
      <w:r w:rsidRPr="004A6939">
        <w:rPr>
          <w:rFonts w:eastAsiaTheme="minorEastAsia"/>
          <w:vertAlign w:val="subscript"/>
        </w:rPr>
        <w:t>ki</w:t>
      </w:r>
      <w:proofErr w:type="spellEnd"/>
      <w:r w:rsidRPr="004A6939">
        <w:rPr>
          <w:rFonts w:eastAsiaTheme="minorEastAsia"/>
        </w:rPr>
        <w:t>) és betáplált (</w:t>
      </w:r>
      <w:r w:rsidRPr="004A6939">
        <w:rPr>
          <w:rFonts w:eastAsiaTheme="minorEastAsia"/>
          <w:i/>
        </w:rPr>
        <w:t>E</w:t>
      </w:r>
      <w:r w:rsidRPr="004A6939">
        <w:rPr>
          <w:rFonts w:eastAsiaTheme="minorEastAsia"/>
          <w:vertAlign w:val="subscript"/>
        </w:rPr>
        <w:t>be</w:t>
      </w:r>
      <w:r w:rsidRPr="004A6939">
        <w:rPr>
          <w:rFonts w:eastAsiaTheme="minorEastAsia"/>
        </w:rPr>
        <w:t>) villamosenergia hányadosa. Amennyiben a betáplálás és a kinyerés térben és/vagy időben kellően távol van egymástól, akkor szemléletes a tárolás két „félfolyamatra” való felbontása, a</w:t>
      </w:r>
      <w:r w:rsidR="001B3074" w:rsidRPr="004A6939">
        <w:rPr>
          <w:rFonts w:eastAsiaTheme="minorEastAsia"/>
        </w:rPr>
        <w:t xml:space="preserve">melyeknek a hatásfoka </w:t>
      </w:r>
      <w:r w:rsidR="001B3074" w:rsidRPr="004A6939">
        <w:rPr>
          <w:rFonts w:ascii="Symbol" w:eastAsiaTheme="minorEastAsia" w:hAnsi="Symbol"/>
          <w:i/>
        </w:rPr>
        <w:t></w:t>
      </w:r>
      <w:r w:rsidR="001B3074" w:rsidRPr="004A6939">
        <w:rPr>
          <w:rFonts w:eastAsiaTheme="minorEastAsia"/>
          <w:vertAlign w:val="subscript"/>
        </w:rPr>
        <w:t>be</w:t>
      </w:r>
      <w:r w:rsidRPr="004A6939">
        <w:rPr>
          <w:rFonts w:eastAsiaTheme="minorEastAsia"/>
        </w:rPr>
        <w:t xml:space="preserve"> </w:t>
      </w:r>
      <w:r w:rsidR="001B3074" w:rsidRPr="004A6939">
        <w:rPr>
          <w:rFonts w:eastAsiaTheme="minorEastAsia"/>
        </w:rPr>
        <w:t>(</w:t>
      </w:r>
      <w:r w:rsidRPr="004A6939">
        <w:rPr>
          <w:rFonts w:eastAsiaTheme="minorEastAsia"/>
        </w:rPr>
        <w:t>betárolás</w:t>
      </w:r>
      <w:r w:rsidR="001B3074" w:rsidRPr="004A6939">
        <w:rPr>
          <w:rFonts w:eastAsiaTheme="minorEastAsia"/>
        </w:rPr>
        <w:t xml:space="preserve">) és </w:t>
      </w:r>
      <w:r w:rsidR="001B3074" w:rsidRPr="004A6939">
        <w:rPr>
          <w:rFonts w:ascii="Symbol" w:eastAsiaTheme="minorEastAsia" w:hAnsi="Symbol"/>
          <w:i/>
        </w:rPr>
        <w:t></w:t>
      </w:r>
      <w:r w:rsidR="001B3074" w:rsidRPr="004A6939">
        <w:rPr>
          <w:rFonts w:eastAsiaTheme="minorEastAsia"/>
          <w:vertAlign w:val="subscript"/>
        </w:rPr>
        <w:t>ki</w:t>
      </w:r>
      <w:r w:rsidR="001B3074" w:rsidRPr="004A6939">
        <w:rPr>
          <w:rFonts w:eastAsiaTheme="minorEastAsia"/>
        </w:rPr>
        <w:t xml:space="preserve"> (kinyerés). Ez esetben van egy közbülső mennyiségünk, a tárolóban „elvileg” meglevő energia</w:t>
      </w:r>
      <w:r w:rsidR="00901D5D" w:rsidRPr="004A6939">
        <w:rPr>
          <w:rFonts w:eastAsiaTheme="minorEastAsia"/>
        </w:rPr>
        <w:t>. E</w:t>
      </w:r>
      <w:r w:rsidR="001B3074" w:rsidRPr="004A6939">
        <w:rPr>
          <w:rFonts w:eastAsiaTheme="minorEastAsia"/>
        </w:rPr>
        <w:t xml:space="preserve">z </w:t>
      </w:r>
      <w:proofErr w:type="spellStart"/>
      <w:r w:rsidR="001B3074" w:rsidRPr="004A6939">
        <w:rPr>
          <w:rFonts w:eastAsiaTheme="minorEastAsia"/>
        </w:rPr>
        <w:t>P</w:t>
      </w:r>
      <w:r w:rsidR="00901D5D" w:rsidRPr="004A6939">
        <w:rPr>
          <w:rFonts w:eastAsiaTheme="minorEastAsia"/>
        </w:rPr>
        <w:t>t</w:t>
      </w:r>
      <w:r w:rsidR="001B3074" w:rsidRPr="004A6939">
        <w:rPr>
          <w:rFonts w:eastAsiaTheme="minorEastAsia"/>
        </w:rPr>
        <w:t>M</w:t>
      </w:r>
      <w:proofErr w:type="spellEnd"/>
      <w:r w:rsidR="001B3074" w:rsidRPr="004A6939">
        <w:rPr>
          <w:rFonts w:eastAsiaTheme="minorEastAsia"/>
        </w:rPr>
        <w:t xml:space="preserve"> esetben az előállított metánban levő energia, ami elvileg az égéshővel, gyakorlatilag ink</w:t>
      </w:r>
      <w:r w:rsidR="00901D5D" w:rsidRPr="004A6939">
        <w:rPr>
          <w:rFonts w:eastAsiaTheme="minorEastAsia"/>
        </w:rPr>
        <w:t xml:space="preserve">ább a fűtőértékkel jellemezhető; ekkor a </w:t>
      </w:r>
      <w:r w:rsidR="00901D5D" w:rsidRPr="004A6939">
        <w:rPr>
          <w:rFonts w:ascii="Symbol" w:eastAsiaTheme="minorEastAsia" w:hAnsi="Symbol"/>
          <w:i/>
        </w:rPr>
        <w:t></w:t>
      </w:r>
      <w:r w:rsidR="00901D5D" w:rsidRPr="004A6939">
        <w:rPr>
          <w:rFonts w:eastAsiaTheme="minorEastAsia"/>
          <w:vertAlign w:val="subscript"/>
        </w:rPr>
        <w:t>be</w:t>
      </w:r>
      <w:r w:rsidR="00901D5D" w:rsidRPr="004A6939">
        <w:rPr>
          <w:rFonts w:eastAsiaTheme="minorEastAsia"/>
        </w:rPr>
        <w:t xml:space="preserve"> mennyiség a </w:t>
      </w:r>
      <w:proofErr w:type="spellStart"/>
      <w:r w:rsidR="00901D5D" w:rsidRPr="004A6939">
        <w:rPr>
          <w:rFonts w:eastAsiaTheme="minorEastAsia"/>
        </w:rPr>
        <w:t>bio</w:t>
      </w:r>
      <w:proofErr w:type="spellEnd"/>
      <w:r w:rsidR="00901D5D" w:rsidRPr="004A6939">
        <w:rPr>
          <w:rFonts w:eastAsiaTheme="minorEastAsia"/>
        </w:rPr>
        <w:t>-metán előállítási hatásfokaként kezelhető.</w:t>
      </w:r>
    </w:p>
    <w:p w:rsidR="001B3074" w:rsidRPr="004A6939" w:rsidRDefault="001B3074" w:rsidP="001B3074">
      <w:pPr>
        <w:jc w:val="both"/>
        <w:rPr>
          <w:rFonts w:eastAsiaTheme="minorEastAsia"/>
        </w:rPr>
      </w:pPr>
      <w:r w:rsidRPr="004A6939">
        <w:rPr>
          <w:rFonts w:eastAsiaTheme="minorEastAsia"/>
        </w:rPr>
        <w:t xml:space="preserve">A </w:t>
      </w:r>
      <w:r w:rsidR="009200E9" w:rsidRPr="004A6939">
        <w:rPr>
          <w:rFonts w:eastAsiaTheme="minorEastAsia"/>
        </w:rPr>
        <w:t xml:space="preserve">tárolási </w:t>
      </w:r>
      <w:r w:rsidRPr="004A6939">
        <w:rPr>
          <w:rFonts w:eastAsiaTheme="minorEastAsia"/>
        </w:rPr>
        <w:t>hatásfok kétféleképp növelhető; a gyakoribb fajtája az, amikor a betárolt villamosenergia kinyerését igyekeznek minél jobban megoldani</w:t>
      </w:r>
      <w:r w:rsidR="00C20E35" w:rsidRPr="004A6939">
        <w:rPr>
          <w:rFonts w:eastAsiaTheme="minorEastAsia"/>
        </w:rPr>
        <w:t>, azaz adott mennyiségű tárolt energiából (</w:t>
      </w:r>
      <w:r w:rsidR="00C20E35" w:rsidRPr="004A6939">
        <w:rPr>
          <w:rFonts w:eastAsiaTheme="minorEastAsia"/>
          <w:i/>
        </w:rPr>
        <w:t>E</w:t>
      </w:r>
      <w:r w:rsidR="00C20E35" w:rsidRPr="004A6939">
        <w:rPr>
          <w:rFonts w:eastAsiaTheme="minorEastAsia"/>
          <w:vertAlign w:val="subscript"/>
        </w:rPr>
        <w:t>t</w:t>
      </w:r>
      <w:r w:rsidR="00C20E35" w:rsidRPr="004A6939">
        <w:rPr>
          <w:rFonts w:eastAsiaTheme="minorEastAsia"/>
        </w:rPr>
        <w:t>) minél többet próbálnak kinyerni (</w:t>
      </w:r>
      <w:proofErr w:type="spellStart"/>
      <w:r w:rsidR="00C20E35" w:rsidRPr="004A6939">
        <w:rPr>
          <w:rFonts w:eastAsiaTheme="minorEastAsia"/>
          <w:i/>
        </w:rPr>
        <w:t>E</w:t>
      </w:r>
      <w:r w:rsidR="00C20E35" w:rsidRPr="004A6939">
        <w:rPr>
          <w:rFonts w:eastAsiaTheme="minorEastAsia"/>
          <w:vertAlign w:val="subscript"/>
        </w:rPr>
        <w:t>ki</w:t>
      </w:r>
      <w:proofErr w:type="spellEnd"/>
      <w:r w:rsidR="00C20E35" w:rsidRPr="004A6939">
        <w:rPr>
          <w:rFonts w:eastAsiaTheme="minorEastAsia"/>
        </w:rPr>
        <w:t>)</w:t>
      </w:r>
      <w:r w:rsidRPr="004A6939">
        <w:rPr>
          <w:rFonts w:eastAsiaTheme="minorEastAsia"/>
        </w:rPr>
        <w:t xml:space="preserve">. Ez a </w:t>
      </w:r>
      <w:proofErr w:type="spellStart"/>
      <w:r w:rsidRPr="004A6939">
        <w:rPr>
          <w:rFonts w:eastAsiaTheme="minorEastAsia"/>
        </w:rPr>
        <w:t>PtM</w:t>
      </w:r>
      <w:proofErr w:type="spellEnd"/>
      <w:r w:rsidRPr="004A6939">
        <w:rPr>
          <w:rFonts w:eastAsiaTheme="minorEastAsia"/>
        </w:rPr>
        <w:t xml:space="preserve"> technológiánál a metán</w:t>
      </w:r>
      <w:r w:rsidRPr="004A6939">
        <w:rPr>
          <w:rFonts w:eastAsiaTheme="minorEastAsia"/>
        </w:rPr>
        <w:sym w:font="Symbol" w:char="F0AE"/>
      </w:r>
      <w:r w:rsidRPr="004A6939">
        <w:rPr>
          <w:rFonts w:eastAsiaTheme="minorEastAsia"/>
        </w:rPr>
        <w:t>villamosenergia visszaalakítás minél jobbá tételét jelenti. Ennek egyik oka az átalakításkor veszteségként távozó energiarész egy részének visszanyerése. A talán leggyakoribb metán</w:t>
      </w:r>
      <w:r w:rsidRPr="004A6939">
        <w:rPr>
          <w:rFonts w:eastAsiaTheme="minorEastAsia"/>
        </w:rPr>
        <w:sym w:font="Symbol" w:char="F0AE"/>
      </w:r>
      <w:r w:rsidRPr="004A6939">
        <w:rPr>
          <w:rFonts w:eastAsiaTheme="minorEastAsia"/>
        </w:rPr>
        <w:t>villamosenergia (vagy földgáz</w:t>
      </w:r>
      <w:r w:rsidRPr="004A6939">
        <w:rPr>
          <w:rFonts w:eastAsiaTheme="minorEastAsia"/>
        </w:rPr>
        <w:sym w:font="Symbol" w:char="F0AE"/>
      </w:r>
      <w:r w:rsidRPr="004A6939">
        <w:rPr>
          <w:rFonts w:eastAsiaTheme="minorEastAsia"/>
        </w:rPr>
        <w:t>villamosenergia) átalakítási technológiában gázmotorokat alkalmaznak; ekkor a veszteség (akár 60-70%) magas hőmérsékletű, azaz „jó minőségű” hu</w:t>
      </w:r>
      <w:r w:rsidR="00C20E35" w:rsidRPr="004A6939">
        <w:rPr>
          <w:rFonts w:eastAsiaTheme="minorEastAsia"/>
        </w:rPr>
        <w:t>lladékhő formájában távozik. M</w:t>
      </w:r>
      <w:r w:rsidRPr="004A6939">
        <w:rPr>
          <w:rFonts w:eastAsiaTheme="minorEastAsia"/>
        </w:rPr>
        <w:t xml:space="preserve">agas hőmérsékletű </w:t>
      </w:r>
      <w:r w:rsidR="00C20E35" w:rsidRPr="004A6939">
        <w:rPr>
          <w:rFonts w:eastAsiaTheme="minorEastAsia"/>
        </w:rPr>
        <w:t xml:space="preserve">hulladékhőből viszonylag könnyű villamosenergiát visszanyerni; rengeteg kutatás foglalkozik az ilyen visszanyerő technológiák gázmotorokra telepítésével és már kaphatók is ilyen berendezések. </w:t>
      </w:r>
      <w:proofErr w:type="gramStart"/>
      <w:r w:rsidR="00C20E35" w:rsidRPr="004A6939">
        <w:rPr>
          <w:rFonts w:eastAsiaTheme="minorEastAsia"/>
        </w:rPr>
        <w:t xml:space="preserve">Ilyenek például a később ismertetendő szerves </w:t>
      </w:r>
      <w:proofErr w:type="spellStart"/>
      <w:r w:rsidR="00C20E35" w:rsidRPr="004A6939">
        <w:rPr>
          <w:rFonts w:eastAsiaTheme="minorEastAsia"/>
        </w:rPr>
        <w:t>Rankine</w:t>
      </w:r>
      <w:proofErr w:type="spellEnd"/>
      <w:r w:rsidR="00C20E35" w:rsidRPr="004A6939">
        <w:rPr>
          <w:rFonts w:eastAsiaTheme="minorEastAsia"/>
        </w:rPr>
        <w:t>-ciklusú (ORC) berendezések is</w:t>
      </w:r>
      <w:proofErr w:type="gramEnd"/>
      <w:r w:rsidR="00A91220">
        <w:rPr>
          <w:rFonts w:eastAsiaTheme="minorEastAsia"/>
        </w:rPr>
        <w:t xml:space="preserve"> </w:t>
      </w:r>
      <w:r w:rsidR="00A91220">
        <w:rPr>
          <w:rFonts w:eastAsiaTheme="minorEastAsia"/>
        </w:rPr>
        <w:fldChar w:fldCharType="begin" w:fldLock="1"/>
      </w:r>
      <w:r w:rsidR="009974CC">
        <w:rPr>
          <w:rFonts w:eastAsiaTheme="minorEastAsia"/>
        </w:rPr>
        <w:instrText>ADDIN CSL_CITATION {"citationItems":[{"id":"ITEM-1","itemData":{"DOI":"10.1016/j.enconman.2019.02.030","ISSN":"01968904","abstract":"In the present work a 34.3 kW stationary gas engine considered as prime-mover of bottoming thermodynamic cycles. The waste heat recovery cycles of engine exhaust gas consist of several configurations of organic Rankine cycle and combination of Rankine/Kalina cycles, also the engine jacket water heat is recovered by trilateral flash cycle. The performance of bottoming cycles was investigated from thermodynamic and thermo-economic points of view. For the organic Rankine cycle, three fluids including Benzene, Toluene and Cyclohexane have been compared. Also, considering that the trilateral flash cycle is a suitable cycle for heat recovery from a low temperature heat source due to its better matching between the temperature profiles of cycle working fluid and heat source fluid, this cycle is considered as bottoming waste heat recovery cycle for engine jacket water. In order to compare different working fluids and cycle configurations, three objective functions including energy efficiency, exergy efficiency and specific investment cost for the 18 studied cases are compared. The results reveal that, energy, exergy efficiency and specific investment cost of all configurations with toluene as working fluid of organic Rankine cycle is the highest and least compared to the other working fluids, respectively. But for configuration Rankine with Open Feed Heater-Kalina-Trilateral Flash Cycle, benzene fluid is better in terms of specific investment cost, however the energy and exergy efficiency of this cycle is also maximal with toluene fluid. Also, the results depict that configurations Rankine with Internal Heat exchanger – Trilateral Flash Cycle and Rankine with Open Feed Heater_Kalina_Trilateral Flash Cycle thermodynamically, and configurations Rankine with Internal Heat exchanger – Trilateral Flash Cycle and Rankine with Open Feed Heater – Trilateral Flash Cycle exergo-economically show the better performance. In this regard, employing configurations Rankine with Internal Heat exchanger – Trilateral Flash Cycle, Rankine with Open Feed Heater-Kalina – Trilateral Flash Cycle and Rankine with Open Feed Heater – Trilateral Flash Cycle in base mode leads to 6.85 kW, 6.48 kW and 6.54 kW increment in net power produced imposing 3318 $/kW, 4090 $/kW and 3377 $/kW specific investment cost, respectively.","author":[{"dropping-particle":"","family":"Marami Milani","given":"Samira","non-dropping-particle":"","parse-names":false,"suffix":""},{"dropping-particle":"","family":"Khoshbakhti Saray","given":"Rahim","non-dropping-particle":"","parse-names":false,"suffix":""},{"dropping-particle":"","family":"Najafi","given":"Mohammad","non-dropping-particle":"","parse-names":false,"suffix":""}],"container-title":"Energy Conversion and Management","id":"ITEM-1","issue":"September 2018","issued":{"date-parts":[["2019"]]},"page":"103-119","publisher":"Elsevier","title":"Exergo-economic analysis of different power-cycle configurations driven by heat recovery of a gas engine","type":"article-journal","volume":"186"},"uris":["http://www.mendeley.com/documents/?uuid=1d627f31-edd3-4ae5-8743-7a0f70ccbb9a"]}],"mendeley":{"formattedCitation":"[36]","plainTextFormattedCitation":"[36]","previouslyFormattedCitation":"[35]"},"properties":{"noteIndex":0},"schema":"https://github.com/citation-style-language/schema/raw/master/csl-citation.json"}</w:instrText>
      </w:r>
      <w:r w:rsidR="00A91220">
        <w:rPr>
          <w:rFonts w:eastAsiaTheme="minorEastAsia"/>
        </w:rPr>
        <w:fldChar w:fldCharType="separate"/>
      </w:r>
      <w:r w:rsidR="009974CC" w:rsidRPr="009974CC">
        <w:rPr>
          <w:rFonts w:eastAsiaTheme="minorEastAsia"/>
          <w:noProof/>
        </w:rPr>
        <w:t>[36]</w:t>
      </w:r>
      <w:r w:rsidR="00A91220">
        <w:rPr>
          <w:rFonts w:eastAsiaTheme="minorEastAsia"/>
        </w:rPr>
        <w:fldChar w:fldCharType="end"/>
      </w:r>
      <w:r w:rsidR="00C20E35" w:rsidRPr="004A6939">
        <w:rPr>
          <w:rFonts w:eastAsiaTheme="minorEastAsia"/>
        </w:rPr>
        <w:t>.</w:t>
      </w:r>
    </w:p>
    <w:p w:rsidR="00C20E35" w:rsidRPr="004A6939" w:rsidRDefault="00C20E35" w:rsidP="001B3074">
      <w:pPr>
        <w:jc w:val="both"/>
        <w:rPr>
          <w:rFonts w:eastAsiaTheme="minorEastAsia"/>
        </w:rPr>
      </w:pPr>
      <w:r w:rsidRPr="004A6939">
        <w:rPr>
          <w:rFonts w:eastAsiaTheme="minorEastAsia"/>
        </w:rPr>
        <w:lastRenderedPageBreak/>
        <w:t>A hatásfok-növelés másik útja, hogy valamiképp csökkentjük az adott mennyiségű tárolt energiához (</w:t>
      </w:r>
      <w:r w:rsidRPr="004A6939">
        <w:rPr>
          <w:rFonts w:eastAsiaTheme="minorEastAsia"/>
          <w:i/>
        </w:rPr>
        <w:t>E</w:t>
      </w:r>
      <w:r w:rsidRPr="004A6939">
        <w:rPr>
          <w:rFonts w:eastAsiaTheme="minorEastAsia"/>
          <w:vertAlign w:val="subscript"/>
        </w:rPr>
        <w:t>t</w:t>
      </w:r>
      <w:r w:rsidRPr="004A6939">
        <w:rPr>
          <w:rFonts w:eastAsiaTheme="minorEastAsia"/>
        </w:rPr>
        <w:t>) minél kevesebb villamosenergiát kelljen betáplálni (</w:t>
      </w:r>
      <w:r w:rsidRPr="004A6939">
        <w:rPr>
          <w:rFonts w:eastAsiaTheme="minorEastAsia"/>
          <w:i/>
        </w:rPr>
        <w:t>E</w:t>
      </w:r>
      <w:r w:rsidRPr="004A6939">
        <w:rPr>
          <w:rFonts w:eastAsiaTheme="minorEastAsia"/>
          <w:vertAlign w:val="subscript"/>
        </w:rPr>
        <w:t>be</w:t>
      </w:r>
      <w:r w:rsidRPr="004A6939">
        <w:rPr>
          <w:rFonts w:eastAsiaTheme="minorEastAsia"/>
        </w:rPr>
        <w:t xml:space="preserve">). A betápláláskor keletkező hulladékhő hasznosítása – főképp </w:t>
      </w:r>
      <w:proofErr w:type="spellStart"/>
      <w:r w:rsidRPr="004A6939">
        <w:rPr>
          <w:rFonts w:eastAsiaTheme="minorEastAsia"/>
        </w:rPr>
        <w:t>biometanizációnál</w:t>
      </w:r>
      <w:proofErr w:type="spellEnd"/>
      <w:r w:rsidRPr="004A6939">
        <w:rPr>
          <w:rFonts w:eastAsiaTheme="minorEastAsia"/>
        </w:rPr>
        <w:t>, amikor ez a hő viszonylag alacsony hőmérsékletű – eddig nem volt vizsgálat tárgya. Viszont az utóbbi években az alacsony hőmérsékletű hőforrásokra alkalmazható energiatermelő berendezések sokat fejlődtek, így korábban nem hasznosíthatónak gondolt hőforrások is hasznosíthatóvá váltak, bár viszonylag kis hatásfokkal. Az alacsony hőmérsékletű elektrolízisre és az azt követő</w:t>
      </w:r>
      <w:r w:rsidR="00001165" w:rsidRPr="004A6939">
        <w:rPr>
          <w:rFonts w:eastAsiaTheme="minorEastAsia"/>
        </w:rPr>
        <w:t xml:space="preserve"> biológia </w:t>
      </w:r>
      <w:proofErr w:type="spellStart"/>
      <w:r w:rsidR="00001165" w:rsidRPr="004A6939">
        <w:rPr>
          <w:rFonts w:eastAsiaTheme="minorEastAsia"/>
        </w:rPr>
        <w:t>metanizációra</w:t>
      </w:r>
      <w:proofErr w:type="spellEnd"/>
      <w:r w:rsidR="00001165" w:rsidRPr="004A6939">
        <w:rPr>
          <w:rFonts w:eastAsiaTheme="minorEastAsia"/>
        </w:rPr>
        <w:t xml:space="preserve"> épülő </w:t>
      </w:r>
      <w:proofErr w:type="spellStart"/>
      <w:r w:rsidR="00001165" w:rsidRPr="004A6939">
        <w:rPr>
          <w:rFonts w:eastAsiaTheme="minorEastAsia"/>
        </w:rPr>
        <w:t>Pt</w:t>
      </w:r>
      <w:r w:rsidRPr="004A6939">
        <w:rPr>
          <w:rFonts w:eastAsiaTheme="minorEastAsia"/>
        </w:rPr>
        <w:t>M</w:t>
      </w:r>
      <w:proofErr w:type="spellEnd"/>
      <w:r w:rsidRPr="004A6939">
        <w:rPr>
          <w:rFonts w:eastAsiaTheme="minorEastAsia"/>
        </w:rPr>
        <w:t xml:space="preserve"> </w:t>
      </w:r>
      <w:r w:rsidR="00001165" w:rsidRPr="004A6939">
        <w:rPr>
          <w:rFonts w:eastAsiaTheme="minorEastAsia"/>
        </w:rPr>
        <w:t xml:space="preserve">technológiánál az elektrolíziskor és a </w:t>
      </w:r>
      <w:proofErr w:type="spellStart"/>
      <w:r w:rsidR="00001165" w:rsidRPr="004A6939">
        <w:rPr>
          <w:rFonts w:eastAsiaTheme="minorEastAsia"/>
        </w:rPr>
        <w:t>metanizációnál</w:t>
      </w:r>
      <w:proofErr w:type="spellEnd"/>
      <w:r w:rsidR="00001165" w:rsidRPr="004A6939">
        <w:rPr>
          <w:rFonts w:eastAsiaTheme="minorEastAsia"/>
        </w:rPr>
        <w:t xml:space="preserve"> is keletkezik hulladékhő; ezekből villamosenergiát előállítva és ezt visszatáplálva az </w:t>
      </w:r>
      <w:proofErr w:type="spellStart"/>
      <w:r w:rsidR="00001165" w:rsidRPr="004A6939">
        <w:rPr>
          <w:rFonts w:eastAsiaTheme="minorEastAsia"/>
        </w:rPr>
        <w:t>elektrolizátorra</w:t>
      </w:r>
      <w:proofErr w:type="spellEnd"/>
      <w:r w:rsidR="00001165" w:rsidRPr="004A6939">
        <w:rPr>
          <w:rFonts w:eastAsiaTheme="minorEastAsia"/>
        </w:rPr>
        <w:t xml:space="preserve">, csökkenthető a bemenő villamosenergia mennyisége, így – azonos tárolt energia </w:t>
      </w:r>
      <w:r w:rsidR="004A6939" w:rsidRPr="004A6939">
        <w:rPr>
          <w:rFonts w:eastAsiaTheme="minorEastAsia"/>
        </w:rPr>
        <w:t>(</w:t>
      </w:r>
      <w:r w:rsidR="00001165" w:rsidRPr="004A6939">
        <w:rPr>
          <w:rFonts w:eastAsiaTheme="minorEastAsia"/>
          <w:i/>
        </w:rPr>
        <w:t>E</w:t>
      </w:r>
      <w:r w:rsidR="00001165" w:rsidRPr="004A6939">
        <w:rPr>
          <w:rFonts w:eastAsiaTheme="minorEastAsia"/>
          <w:vertAlign w:val="subscript"/>
        </w:rPr>
        <w:t>t</w:t>
      </w:r>
      <w:r w:rsidR="004A6939" w:rsidRPr="004A6939">
        <w:rPr>
          <w:rFonts w:eastAsiaTheme="minorEastAsia"/>
        </w:rPr>
        <w:t xml:space="preserve">) </w:t>
      </w:r>
      <w:r w:rsidR="00001165" w:rsidRPr="004A6939">
        <w:rPr>
          <w:rFonts w:eastAsiaTheme="minorEastAsia"/>
        </w:rPr>
        <w:t>mellett – a betáplálási hatásfok (</w:t>
      </w:r>
      <w:r w:rsidR="00001165" w:rsidRPr="004A6939">
        <w:rPr>
          <w:rFonts w:ascii="Symbol" w:eastAsiaTheme="minorEastAsia" w:hAnsi="Symbol"/>
          <w:i/>
        </w:rPr>
        <w:t></w:t>
      </w:r>
      <w:r w:rsidR="00001165" w:rsidRPr="004A6939">
        <w:rPr>
          <w:rFonts w:eastAsiaTheme="minorEastAsia"/>
          <w:vertAlign w:val="subscript"/>
        </w:rPr>
        <w:t>be</w:t>
      </w:r>
      <w:r w:rsidR="00001165" w:rsidRPr="004A6939">
        <w:rPr>
          <w:rFonts w:eastAsiaTheme="minorEastAsia"/>
        </w:rPr>
        <w:t>) és ezen keresztül a teljes tárolási hatásfok is növelhető.</w:t>
      </w:r>
    </w:p>
    <w:p w:rsidR="00777A8B" w:rsidRDefault="00812739" w:rsidP="00841AA4">
      <w:pPr>
        <w:jc w:val="both"/>
      </w:pPr>
      <w:r w:rsidRPr="004A6939">
        <w:rPr>
          <w:rFonts w:eastAsiaTheme="minorEastAsia"/>
        </w:rPr>
        <w:t>A következőkben a szerve</w:t>
      </w:r>
      <w:r w:rsidR="009200E9" w:rsidRPr="004A6939">
        <w:rPr>
          <w:rFonts w:eastAsiaTheme="minorEastAsia"/>
        </w:rPr>
        <w:t>s</w:t>
      </w:r>
      <w:r w:rsidRPr="004A6939">
        <w:rPr>
          <w:rFonts w:eastAsiaTheme="minorEastAsia"/>
        </w:rPr>
        <w:t xml:space="preserve"> </w:t>
      </w:r>
      <w:proofErr w:type="spellStart"/>
      <w:r w:rsidRPr="004A6939">
        <w:rPr>
          <w:rFonts w:eastAsiaTheme="minorEastAsia"/>
        </w:rPr>
        <w:t>Rankine</w:t>
      </w:r>
      <w:proofErr w:type="spellEnd"/>
      <w:r w:rsidRPr="004A6939">
        <w:rPr>
          <w:rFonts w:eastAsiaTheme="minorEastAsia"/>
        </w:rPr>
        <w:t xml:space="preserve"> ciklus bemutatása után egy </w:t>
      </w:r>
      <w:proofErr w:type="gramStart"/>
      <w:r w:rsidRPr="004A6939">
        <w:rPr>
          <w:rFonts w:eastAsiaTheme="minorEastAsia"/>
        </w:rPr>
        <w:t>konkrét</w:t>
      </w:r>
      <w:proofErr w:type="gramEnd"/>
      <w:r w:rsidRPr="004A6939">
        <w:rPr>
          <w:rFonts w:eastAsiaTheme="minorEastAsia"/>
        </w:rPr>
        <w:t xml:space="preserve"> esetet vizsgálunk és megmutatjuk, mekkora növekmény érhető el ezzel a technológiával.</w:t>
      </w:r>
    </w:p>
    <w:p w:rsidR="007D1625" w:rsidRPr="00C97F4F" w:rsidRDefault="00005EF5" w:rsidP="004A40ED">
      <w:pPr>
        <w:pStyle w:val="Heading1"/>
      </w:pPr>
      <w:r w:rsidRPr="00C97F4F">
        <w:t xml:space="preserve">Szerves </w:t>
      </w:r>
      <w:proofErr w:type="spellStart"/>
      <w:r w:rsidRPr="00C97F4F">
        <w:t>Rankine</w:t>
      </w:r>
      <w:proofErr w:type="spellEnd"/>
      <w:r w:rsidRPr="00C97F4F">
        <w:t>-ciklus</w:t>
      </w:r>
    </w:p>
    <w:p w:rsidR="00D27761" w:rsidRDefault="00EE6CED" w:rsidP="00EE6CED">
      <w:pPr>
        <w:jc w:val="both"/>
      </w:pPr>
      <w:r>
        <w:t xml:space="preserve">A </w:t>
      </w:r>
      <w:proofErr w:type="spellStart"/>
      <w:r>
        <w:t>Rankine</w:t>
      </w:r>
      <w:proofErr w:type="spellEnd"/>
      <w:r>
        <w:t xml:space="preserve">-ciklus egy olyan termodinamikai körfolyamat, amely a hőt mechanikai munkává, generátor alkalmazása mellett pedig villamos energiává alakítja. A körfolyamat egykomponensű, kétfázisú munkaközege a víz. Mivel a víz termofizikai tulajdonságai </w:t>
      </w:r>
      <w:r w:rsidR="00D27761">
        <w:t xml:space="preserve">alacsony hőmérsékletszinteken </w:t>
      </w:r>
      <w:r>
        <w:t>csak nagyon kedvezőtlen hatásfok mellett teszik lehetővé</w:t>
      </w:r>
      <w:r w:rsidR="00D27761">
        <w:t xml:space="preserve"> az energiaátalakítást</w:t>
      </w:r>
      <w:r>
        <w:t xml:space="preserve">, </w:t>
      </w:r>
      <w:r w:rsidR="00D27761">
        <w:t xml:space="preserve">350°C alatti hőmérséklettartományban elterjedtek a hasonló felépítésű, de szerves munkaközeget használó körfolyamatok, a szervesz </w:t>
      </w:r>
      <w:proofErr w:type="spellStart"/>
      <w:r w:rsidR="00D27761">
        <w:t>Rankine</w:t>
      </w:r>
      <w:proofErr w:type="spellEnd"/>
      <w:r w:rsidR="00D27761">
        <w:t>-ciklusok (ORC).</w:t>
      </w:r>
    </w:p>
    <w:p w:rsidR="00D27761" w:rsidRDefault="00D27761" w:rsidP="00EE6CED">
      <w:pPr>
        <w:jc w:val="both"/>
      </w:pPr>
      <w:r>
        <w:t>Az alkalmazott munkaközeg telített gőz</w:t>
      </w:r>
      <w:r w:rsidR="00AA2DB8">
        <w:t>ös</w:t>
      </w:r>
      <w:r>
        <w:t xml:space="preserve"> fázisgörbéjének </w:t>
      </w:r>
      <w:r w:rsidRPr="00D27761">
        <w:rPr>
          <w:i/>
        </w:rPr>
        <w:t>T-s</w:t>
      </w:r>
      <w:r>
        <w:t xml:space="preserve"> diagramon </w:t>
      </w:r>
      <w:r w:rsidR="00AA2DB8">
        <w:t xml:space="preserve">vett meredeksége alapján megkülönböztethető nedvesítő, </w:t>
      </w:r>
      <w:proofErr w:type="spellStart"/>
      <w:r w:rsidR="00AA2DB8">
        <w:t>izentróp</w:t>
      </w:r>
      <w:proofErr w:type="spellEnd"/>
      <w:r w:rsidR="00AA2DB8">
        <w:t xml:space="preserve"> és szárító munkaközeg.</w:t>
      </w:r>
      <w:r>
        <w:t xml:space="preserve"> </w:t>
      </w:r>
      <w:r w:rsidR="000F6FEA">
        <w:t xml:space="preserve">A munkaközegek ilyen típusú osztályozására azért van szükség, mert ez jelentősen befolyásolja az ORC felépítését és működését. </w:t>
      </w:r>
      <w:proofErr w:type="gramStart"/>
      <w:r w:rsidR="00CC694F">
        <w:t>Ha a körfolyamat a vízhez hasonlóan nedvesítő lenne (</w:t>
      </w:r>
      <w:r w:rsidR="00AE526D">
        <w:fldChar w:fldCharType="begin"/>
      </w:r>
      <w:r w:rsidR="00AE526D">
        <w:instrText xml:space="preserve"> REF _Ref92185040 \h </w:instrText>
      </w:r>
      <w:r w:rsidR="00AE526D">
        <w:fldChar w:fldCharType="separate"/>
      </w:r>
      <w:r w:rsidR="00AE526D">
        <w:rPr>
          <w:noProof/>
        </w:rPr>
        <w:t>2</w:t>
      </w:r>
      <w:r w:rsidR="00AE526D">
        <w:t>. ábra</w:t>
      </w:r>
      <w:r w:rsidR="00AE526D">
        <w:fldChar w:fldCharType="end"/>
      </w:r>
      <w:r w:rsidR="00AE526D">
        <w:t xml:space="preserve"> a, b</w:t>
      </w:r>
      <w:r w:rsidR="00CC694F">
        <w:t>), akkor a szivattyú (1,2) után az előmelegítőbe belépő közeget (2,3) nem csak el kellene gőzölögtetni (3,4), de túl is kellene hevíteni (4,5), mivel egy telített gőz halmazállapotból indított expanzió esetén (4,6*) a nedvességtartalom olyan mértékben megnőne</w:t>
      </w:r>
      <w:r w:rsidR="00006DA9">
        <w:t xml:space="preserve"> az expanderben kilépő csonkján</w:t>
      </w:r>
      <w:r w:rsidR="00CC694F">
        <w:t xml:space="preserve">, amely </w:t>
      </w:r>
      <w:r w:rsidR="00006DA9">
        <w:t>–</w:t>
      </w:r>
      <w:r w:rsidR="00006DA9" w:rsidRPr="008C762A">
        <w:t xml:space="preserve"> </w:t>
      </w:r>
      <w:r w:rsidR="00006DA9">
        <w:t>csepperóziót okozva –</w:t>
      </w:r>
      <w:r w:rsidR="00006DA9" w:rsidRPr="008C762A">
        <w:t xml:space="preserve"> </w:t>
      </w:r>
      <w:r w:rsidR="00006DA9">
        <w:t>már jelentős élettartamcsökkenéshez vezet</w:t>
      </w:r>
      <w:r w:rsidR="00AE526D">
        <w:t>het</w:t>
      </w:r>
      <w:r w:rsidR="00006DA9">
        <w:t>ne.</w:t>
      </w:r>
      <w:proofErr w:type="gramEnd"/>
    </w:p>
    <w:p w:rsidR="00006DA9" w:rsidRDefault="009B206B" w:rsidP="00EE6CED">
      <w:pPr>
        <w:jc w:val="both"/>
      </w:pPr>
      <w:r>
        <w:t>Ezzel ellentétben, egy szárító munkaközeg esetén (</w:t>
      </w:r>
      <w:r w:rsidR="00AE526D">
        <w:fldChar w:fldCharType="begin"/>
      </w:r>
      <w:r w:rsidR="00AE526D">
        <w:instrText xml:space="preserve"> REF _Ref92185040 \h </w:instrText>
      </w:r>
      <w:r w:rsidR="00AE526D">
        <w:fldChar w:fldCharType="separate"/>
      </w:r>
      <w:r w:rsidR="00AE526D">
        <w:rPr>
          <w:noProof/>
        </w:rPr>
        <w:t>2</w:t>
      </w:r>
      <w:r w:rsidR="00AE526D">
        <w:t>. ábra</w:t>
      </w:r>
      <w:r w:rsidR="00AE526D">
        <w:fldChar w:fldCharType="end"/>
      </w:r>
      <w:r>
        <w:t xml:space="preserve">. </w:t>
      </w:r>
      <w:r w:rsidR="006C5AC4">
        <w:t>e</w:t>
      </w:r>
      <w:r>
        <w:t xml:space="preserve"> és </w:t>
      </w:r>
      <w:r w:rsidR="006C5AC4">
        <w:t>f</w:t>
      </w:r>
      <w:r>
        <w:t xml:space="preserve">) az elgőzölögtetőből kilépő telített gőz (4, 5) egyből </w:t>
      </w:r>
      <w:proofErr w:type="gramStart"/>
      <w:r>
        <w:t>expandálható</w:t>
      </w:r>
      <w:proofErr w:type="gramEnd"/>
      <w:r>
        <w:t xml:space="preserve">, és nincs szükség túlhevítőre, mivel a munkaközeg tulajdonságai miatt túlhevített gőzként fogja elhagyni az expandert (5, 6). Ennek a megoldásnak azonban hátránya, hogy ha a túlhevített gőz egyből a kondenzátorra jutna, </w:t>
      </w:r>
      <w:r w:rsidR="00EF5F98">
        <w:t xml:space="preserve">az </w:t>
      </w:r>
      <w:r>
        <w:t>jelentős</w:t>
      </w:r>
      <w:r w:rsidR="00EF5F98">
        <w:t xml:space="preserve">en növelné annak </w:t>
      </w:r>
      <w:r>
        <w:t>hőterhelés</w:t>
      </w:r>
      <w:r w:rsidR="00EF5F98">
        <w:t>é</w:t>
      </w:r>
      <w:r>
        <w:t>t</w:t>
      </w:r>
      <w:r w:rsidR="00EF5F98">
        <w:t xml:space="preserve"> és rontaná a hatásfokát. Ezért gyakran alkalmaznak </w:t>
      </w:r>
      <w:proofErr w:type="spellStart"/>
      <w:r w:rsidR="00EF5F98">
        <w:t>rekuperatív</w:t>
      </w:r>
      <w:proofErr w:type="spellEnd"/>
      <w:r w:rsidR="00EF5F98">
        <w:t xml:space="preserve"> hőcserélőt (6,7), amellyel előmelegíthető a szivattyúból kilépő munkaközeg (2, 3), mielőtt az előmelegítőbe jutna.</w:t>
      </w:r>
    </w:p>
    <w:p w:rsidR="006C5AC4" w:rsidRDefault="003019C1" w:rsidP="00EE6CED">
      <w:pPr>
        <w:jc w:val="both"/>
      </w:pPr>
      <w:r>
        <w:t xml:space="preserve">Az </w:t>
      </w:r>
      <w:proofErr w:type="gramStart"/>
      <w:r>
        <w:t>ideális</w:t>
      </w:r>
      <w:proofErr w:type="gramEnd"/>
      <w:r>
        <w:t xml:space="preserve"> megoldás azonban az, ha a munkaközeg </w:t>
      </w:r>
      <w:proofErr w:type="spellStart"/>
      <w:r>
        <w:t>izentróp</w:t>
      </w:r>
      <w:proofErr w:type="spellEnd"/>
      <w:r w:rsidR="00AE526D">
        <w:t xml:space="preserve"> (</w:t>
      </w:r>
      <w:r w:rsidR="00AE526D">
        <w:fldChar w:fldCharType="begin"/>
      </w:r>
      <w:r w:rsidR="00AE526D">
        <w:instrText xml:space="preserve"> REF _Ref92185040 \h </w:instrText>
      </w:r>
      <w:r w:rsidR="00AE526D">
        <w:fldChar w:fldCharType="separate"/>
      </w:r>
      <w:r w:rsidR="00AE526D">
        <w:rPr>
          <w:noProof/>
        </w:rPr>
        <w:t>2</w:t>
      </w:r>
      <w:r w:rsidR="00AE526D">
        <w:t>. ábra</w:t>
      </w:r>
      <w:r w:rsidR="00AE526D">
        <w:fldChar w:fldCharType="end"/>
      </w:r>
      <w:r w:rsidR="00AE526D">
        <w:t xml:space="preserve"> </w:t>
      </w:r>
      <w:r w:rsidR="006C5AC4">
        <w:t>c</w:t>
      </w:r>
      <w:r w:rsidR="00AE526D">
        <w:t xml:space="preserve"> és </w:t>
      </w:r>
      <w:r w:rsidR="006C5AC4">
        <w:t>d</w:t>
      </w:r>
      <w:r w:rsidR="00AE526D">
        <w:t>)</w:t>
      </w:r>
      <w:r>
        <w:t xml:space="preserve">, mivel ebben az esetben az expanzió telített gőz halmazállapotból indul és telített gőz halmazállapotba </w:t>
      </w:r>
      <w:r w:rsidR="006C5AC4">
        <w:t>ér véget</w:t>
      </w:r>
      <w:r>
        <w:t xml:space="preserve">. </w:t>
      </w:r>
      <w:r w:rsidR="006C5AC4">
        <w:t>Ilyen esetben a</w:t>
      </w:r>
      <w:r>
        <w:t xml:space="preserve"> körfolyamat üzembiztos megvalósításához nem kellene se túlhevítő, se pedig </w:t>
      </w:r>
      <w:proofErr w:type="spellStart"/>
      <w:r>
        <w:t>rekuperatív</w:t>
      </w:r>
      <w:proofErr w:type="spellEnd"/>
      <w:r>
        <w:t xml:space="preserve"> hőcserélő.</w:t>
      </w:r>
      <w:r w:rsidR="006C5AC4">
        <w:t xml:space="preserve"> </w:t>
      </w:r>
    </w:p>
    <w:p w:rsidR="00EF5F98" w:rsidRDefault="006C5AC4" w:rsidP="00EE6CED">
      <w:pPr>
        <w:jc w:val="both"/>
      </w:pPr>
      <w:r>
        <w:t xml:space="preserve">Sajnos a valóságban tökéletesen </w:t>
      </w:r>
      <w:proofErr w:type="spellStart"/>
      <w:r>
        <w:t>izentróp</w:t>
      </w:r>
      <w:proofErr w:type="spellEnd"/>
      <w:r>
        <w:t xml:space="preserve"> munkaközeg nem létezik, ahogy </w:t>
      </w:r>
      <w:proofErr w:type="gramStart"/>
      <w:r>
        <w:t>ideális</w:t>
      </w:r>
      <w:proofErr w:type="gramEnd"/>
      <w:r>
        <w:t xml:space="preserve"> expanzió sem. </w:t>
      </w:r>
      <w:r w:rsidR="006F4DF4">
        <w:t xml:space="preserve">Azonban ha figyelembe vesszük az expander hatásfokát, és olyan munkaközeget választunk, amellyel megvalósíthatóvá válik, hogy az </w:t>
      </w:r>
      <w:proofErr w:type="gramStart"/>
      <w:r w:rsidR="006F4DF4">
        <w:t>expanzió</w:t>
      </w:r>
      <w:proofErr w:type="gramEnd"/>
      <w:r w:rsidR="006F4DF4">
        <w:t xml:space="preserve"> telített gőz halmazállapotból induljon és közel telített gőz halmazállapotban érjen véget, </w:t>
      </w:r>
      <w:r w:rsidR="00E706ED">
        <w:t>feleslegessé</w:t>
      </w:r>
      <w:r w:rsidR="006F4DF4">
        <w:t xml:space="preserve"> válik </w:t>
      </w:r>
      <w:r w:rsidR="0008758C">
        <w:t xml:space="preserve">mind </w:t>
      </w:r>
      <w:r w:rsidR="006F4DF4">
        <w:t xml:space="preserve">a túlhevítő, </w:t>
      </w:r>
      <w:r w:rsidR="0008758C">
        <w:t>mind pedig</w:t>
      </w:r>
      <w:r w:rsidR="006F4DF4">
        <w:t xml:space="preserve"> a </w:t>
      </w:r>
      <w:proofErr w:type="spellStart"/>
      <w:r w:rsidR="006F4DF4">
        <w:t>rekuperatív</w:t>
      </w:r>
      <w:proofErr w:type="spellEnd"/>
      <w:r w:rsidR="006F4DF4">
        <w:t xml:space="preserve"> hőcserélő</w:t>
      </w:r>
      <w:r w:rsidR="00274C92">
        <w:t xml:space="preserve">, és </w:t>
      </w:r>
      <w:r w:rsidR="00274C92">
        <w:lastRenderedPageBreak/>
        <w:t xml:space="preserve">egy </w:t>
      </w:r>
      <w:proofErr w:type="spellStart"/>
      <w:r w:rsidR="00274C92">
        <w:t>termodinamikailag</w:t>
      </w:r>
      <w:proofErr w:type="spellEnd"/>
      <w:r w:rsidR="00274C92">
        <w:t xml:space="preserve"> ideális megoldást kapunk</w:t>
      </w:r>
      <w:r w:rsidR="00E706ED">
        <w:t xml:space="preserve">, maximális </w:t>
      </w:r>
      <w:r w:rsidR="00E706ED" w:rsidRPr="00E706ED">
        <w:t>tengelyteljesítményt leadni képes konstrukció</w:t>
      </w:r>
      <w:r w:rsidR="00E706ED">
        <w:t>val</w:t>
      </w:r>
      <w:r w:rsidR="006F4DF4" w:rsidRPr="00E706ED">
        <w:t>.</w:t>
      </w:r>
      <w:r w:rsidR="00D0487A">
        <w:t xml:space="preserve"> </w:t>
      </w:r>
      <w:proofErr w:type="gramStart"/>
      <w:r w:rsidR="00274C92">
        <w:t xml:space="preserve">A valós expanziót figyelembe vevő, </w:t>
      </w:r>
      <w:proofErr w:type="spellStart"/>
      <w:r w:rsidR="00274C92">
        <w:t>termodinamikailag</w:t>
      </w:r>
      <w:proofErr w:type="spellEnd"/>
      <w:r w:rsidR="00274C92">
        <w:t xml:space="preserve"> ideális munkaközegválasztással </w:t>
      </w:r>
      <w:r w:rsidR="00D0487A">
        <w:t>kapcsolatos kutatás</w:t>
      </w:r>
      <w:r w:rsidR="00BC2740">
        <w:t>okról bővebben a</w:t>
      </w:r>
      <w:proofErr w:type="gramEnd"/>
      <w:r w:rsidR="00BC2740">
        <w:t xml:space="preserve"> </w:t>
      </w:r>
      <w:r w:rsidR="007E6D17">
        <w:fldChar w:fldCharType="begin" w:fldLock="1"/>
      </w:r>
      <w:r w:rsidR="009974CC">
        <w:instrText>ADDIN CSL_CITATION {"citationItems":[{"id":"ITEM-1","itemData":{"DOI":"10.18462/iir.rankine.2020.1170","ISBN":"9782362150388","ISSN":"01511637","abstract":"The final state of the expansion process has a crucial effect on the ORC design. If it ends in the dry vapour region, it requires isobar cooling for reaching the saturated vapour state, leading to smaller efficiency and higher investment and operating costs due to the extra recuperative heat exchanger. If however, the expansion terminates in the two-phase, wet region, the droplets may cause erosion problems, and they may decrease the net efficiency due to moisture loss. Hence it is essential to design an expansion, where the process's initial and final states are both saturated states while all intermediate states are in the dry or slightly wet region. Therefore a method is proposed to determine the optimal working fluid for a real expander (characterized by isentropic efficiency) for a given heat source and heat sink with the simplest ORC layout.","author":[{"dropping-particle":"","family":"Kustán","given":"Réka","non-dropping-particle":"","parse-names":false,"suffix":""},{"dropping-particle":"","family":"Imre","given":"Attila R.","non-dropping-particle":"","parse-names":false,"suffix":""},{"dropping-particle":"","family":"Groniewsky","given":"Axel","non-dropping-particle":"","parse-names":false,"suffix":""}],"container-title":"IIR International Rankine 2020 Conference -Heating, Cooling and Power Generation - Refrigeration Science and Technology","id":"ITEM-1","issue":"July","issued":{"date-parts":[["2020"]]},"page":"351-357","title":"The effect of internal efficiency of expander on the working fluid selection","type":"paper-conference","volume":"2020-July"},"uris":["http://www.mendeley.com/documents/?uuid=ca41350f-0b42-4726-a821-ab5bfb75f444"]}],"mendeley":{"formattedCitation":"[37]","plainTextFormattedCitation":"[37]","previouslyFormattedCitation":"[36]"},"properties":{"noteIndex":0},"schema":"https://github.com/citation-style-language/schema/raw/master/csl-citation.json"}</w:instrText>
      </w:r>
      <w:r w:rsidR="007E6D17">
        <w:fldChar w:fldCharType="separate"/>
      </w:r>
      <w:r w:rsidR="009974CC" w:rsidRPr="009974CC">
        <w:rPr>
          <w:noProof/>
        </w:rPr>
        <w:t>[37]</w:t>
      </w:r>
      <w:r w:rsidR="007E6D17">
        <w:fldChar w:fldCharType="end"/>
      </w:r>
      <w:r w:rsidR="00D0487A">
        <w:t xml:space="preserve"> </w:t>
      </w:r>
      <w:r w:rsidR="00BC2740">
        <w:t xml:space="preserve">közöl </w:t>
      </w:r>
      <w:r w:rsidR="00D0487A">
        <w:t>eredmények</w:t>
      </w:r>
      <w:r w:rsidR="00BC2740">
        <w:t>et</w:t>
      </w:r>
      <w:r w:rsidR="00274C92">
        <w:t>.</w:t>
      </w:r>
    </w:p>
    <w:p w:rsidR="00425322" w:rsidRDefault="00393450" w:rsidP="00EE6CED">
      <w:pPr>
        <w:jc w:val="both"/>
      </w:pPr>
      <w:r>
        <w:t xml:space="preserve">A továbbiakban </w:t>
      </w:r>
      <w:r w:rsidR="00A97C35">
        <w:t xml:space="preserve">az kerül </w:t>
      </w:r>
      <w:r>
        <w:t xml:space="preserve">bemutatásra, hogy hogyan növelhető </w:t>
      </w:r>
      <w:r w:rsidR="00A97C35">
        <w:t xml:space="preserve">egy biológiai </w:t>
      </w:r>
      <w:proofErr w:type="spellStart"/>
      <w:r w:rsidR="00A97C35">
        <w:t>metanizáció</w:t>
      </w:r>
      <w:r w:rsidR="00F733EA">
        <w:t>n</w:t>
      </w:r>
      <w:proofErr w:type="spellEnd"/>
      <w:r w:rsidR="00F733EA">
        <w:t xml:space="preserve"> alapuló</w:t>
      </w:r>
      <w:r w:rsidR="006D09E8">
        <w:t>, alkálikus elektrolízisű</w:t>
      </w:r>
      <w:r w:rsidR="00F733EA">
        <w:t xml:space="preserve"> </w:t>
      </w:r>
      <w:proofErr w:type="spellStart"/>
      <w:r w:rsidR="00A97C35">
        <w:t>PtM</w:t>
      </w:r>
      <w:proofErr w:type="spellEnd"/>
      <w:r w:rsidRPr="00A97B56">
        <w:t xml:space="preserve"> </w:t>
      </w:r>
      <w:r w:rsidR="00F733EA">
        <w:t>technológia</w:t>
      </w:r>
      <w:r w:rsidRPr="00A97B56">
        <w:t xml:space="preserve"> átalakítási hatásfoka szerves </w:t>
      </w:r>
      <w:proofErr w:type="spellStart"/>
      <w:r w:rsidRPr="00A97B56">
        <w:t>Rankine</w:t>
      </w:r>
      <w:proofErr w:type="spellEnd"/>
      <w:r w:rsidRPr="00A97B56">
        <w:t>-ciklus illesztésén keresztül.</w:t>
      </w:r>
    </w:p>
    <w:p w:rsidR="007D08CE" w:rsidRDefault="007D08CE" w:rsidP="007D08CE">
      <w:pPr>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3504"/>
      </w:tblGrid>
      <w:tr w:rsidR="007D08CE" w:rsidTr="00617474">
        <w:trPr>
          <w:jc w:val="center"/>
        </w:trPr>
        <w:tc>
          <w:tcPr>
            <w:tcW w:w="0" w:type="auto"/>
            <w:vAlign w:val="center"/>
          </w:tcPr>
          <w:p w:rsidR="007D08CE" w:rsidRDefault="00617474" w:rsidP="00841AA4">
            <w:pPr>
              <w:jc w:val="both"/>
            </w:pPr>
            <w:r>
              <w:rPr>
                <w:noProof/>
                <w:lang w:val="en-US"/>
              </w:rPr>
              <w:drawing>
                <wp:inline distT="0" distB="0" distL="0" distR="0" wp14:anchorId="60190396" wp14:editId="3AAB699C">
                  <wp:extent cx="2800800" cy="1879200"/>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dves.emf"/>
                          <pic:cNvPicPr/>
                        </pic:nvPicPr>
                        <pic:blipFill>
                          <a:blip r:embed="rId9">
                            <a:extLst>
                              <a:ext uri="{28A0092B-C50C-407E-A947-70E740481C1C}">
                                <a14:useLocalDpi xmlns:a14="http://schemas.microsoft.com/office/drawing/2010/main" val="0"/>
                              </a:ext>
                            </a:extLst>
                          </a:blip>
                          <a:stretch>
                            <a:fillRect/>
                          </a:stretch>
                        </pic:blipFill>
                        <pic:spPr>
                          <a:xfrm>
                            <a:off x="0" y="0"/>
                            <a:ext cx="2800800" cy="1879200"/>
                          </a:xfrm>
                          <a:prstGeom prst="rect">
                            <a:avLst/>
                          </a:prstGeom>
                        </pic:spPr>
                      </pic:pic>
                    </a:graphicData>
                  </a:graphic>
                </wp:inline>
              </w:drawing>
            </w:r>
          </w:p>
        </w:tc>
        <w:tc>
          <w:tcPr>
            <w:tcW w:w="0" w:type="auto"/>
            <w:vAlign w:val="center"/>
          </w:tcPr>
          <w:p w:rsidR="007D08CE" w:rsidRDefault="007D08CE" w:rsidP="00841AA4">
            <w:pPr>
              <w:jc w:val="both"/>
            </w:pPr>
            <w:r w:rsidRPr="0054673D">
              <w:rPr>
                <w:noProof/>
                <w:lang w:val="en-US"/>
              </w:rPr>
              <w:drawing>
                <wp:inline distT="0" distB="0" distL="0" distR="0" wp14:anchorId="5CFF6787" wp14:editId="4D33886C">
                  <wp:extent cx="2080270" cy="2311411"/>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2080270" cy="2311411"/>
                          </a:xfrm>
                          <a:prstGeom prst="rect">
                            <a:avLst/>
                          </a:prstGeom>
                        </pic:spPr>
                      </pic:pic>
                    </a:graphicData>
                  </a:graphic>
                </wp:inline>
              </w:drawing>
            </w:r>
          </w:p>
        </w:tc>
      </w:tr>
      <w:tr w:rsidR="007D08CE" w:rsidTr="00271AC1">
        <w:trPr>
          <w:jc w:val="center"/>
        </w:trPr>
        <w:tc>
          <w:tcPr>
            <w:tcW w:w="0" w:type="auto"/>
            <w:vAlign w:val="center"/>
          </w:tcPr>
          <w:p w:rsidR="007D08CE" w:rsidRDefault="00271AC1" w:rsidP="00841AA4">
            <w:pPr>
              <w:jc w:val="both"/>
            </w:pPr>
            <w:r>
              <w:rPr>
                <w:noProof/>
                <w:lang w:val="en-US"/>
              </w:rPr>
              <w:drawing>
                <wp:inline distT="0" distB="0" distL="0" distR="0" wp14:anchorId="4D058408" wp14:editId="67A6F6DA">
                  <wp:extent cx="2607643" cy="1749600"/>
                  <wp:effectExtent l="0" t="0" r="254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zentrop.emf"/>
                          <pic:cNvPicPr/>
                        </pic:nvPicPr>
                        <pic:blipFill>
                          <a:blip r:embed="rId11">
                            <a:extLst>
                              <a:ext uri="{28A0092B-C50C-407E-A947-70E740481C1C}">
                                <a14:useLocalDpi xmlns:a14="http://schemas.microsoft.com/office/drawing/2010/main" val="0"/>
                              </a:ext>
                            </a:extLst>
                          </a:blip>
                          <a:stretch>
                            <a:fillRect/>
                          </a:stretch>
                        </pic:blipFill>
                        <pic:spPr>
                          <a:xfrm>
                            <a:off x="0" y="0"/>
                            <a:ext cx="2607643" cy="1749600"/>
                          </a:xfrm>
                          <a:prstGeom prst="rect">
                            <a:avLst/>
                          </a:prstGeom>
                        </pic:spPr>
                      </pic:pic>
                    </a:graphicData>
                  </a:graphic>
                </wp:inline>
              </w:drawing>
            </w:r>
          </w:p>
        </w:tc>
        <w:tc>
          <w:tcPr>
            <w:tcW w:w="0" w:type="auto"/>
            <w:vAlign w:val="center"/>
          </w:tcPr>
          <w:p w:rsidR="007D08CE" w:rsidRDefault="007D08CE" w:rsidP="00841AA4">
            <w:pPr>
              <w:jc w:val="both"/>
            </w:pPr>
            <w:r w:rsidRPr="0054673D">
              <w:rPr>
                <w:noProof/>
                <w:lang w:val="en-US"/>
              </w:rPr>
              <w:drawing>
                <wp:inline distT="0" distB="0" distL="0" distR="0" wp14:anchorId="0B590222" wp14:editId="70B38C45">
                  <wp:extent cx="2054431" cy="1893693"/>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2054431" cy="1893693"/>
                          </a:xfrm>
                          <a:prstGeom prst="rect">
                            <a:avLst/>
                          </a:prstGeom>
                        </pic:spPr>
                      </pic:pic>
                    </a:graphicData>
                  </a:graphic>
                </wp:inline>
              </w:drawing>
            </w:r>
          </w:p>
        </w:tc>
      </w:tr>
      <w:tr w:rsidR="007D08CE" w:rsidTr="00617474">
        <w:trPr>
          <w:jc w:val="center"/>
        </w:trPr>
        <w:tc>
          <w:tcPr>
            <w:tcW w:w="0" w:type="auto"/>
            <w:vAlign w:val="center"/>
          </w:tcPr>
          <w:p w:rsidR="007D08CE" w:rsidRDefault="00617474" w:rsidP="00841AA4">
            <w:pPr>
              <w:jc w:val="both"/>
            </w:pPr>
            <w:r>
              <w:rPr>
                <w:noProof/>
                <w:lang w:val="en-US"/>
              </w:rPr>
              <w:drawing>
                <wp:inline distT="0" distB="0" distL="0" distR="0" wp14:anchorId="33191C91" wp14:editId="6569B6EC">
                  <wp:extent cx="2800800" cy="1879200"/>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záraz.emf"/>
                          <pic:cNvPicPr/>
                        </pic:nvPicPr>
                        <pic:blipFill>
                          <a:blip r:embed="rId13">
                            <a:extLst>
                              <a:ext uri="{28A0092B-C50C-407E-A947-70E740481C1C}">
                                <a14:useLocalDpi xmlns:a14="http://schemas.microsoft.com/office/drawing/2010/main" val="0"/>
                              </a:ext>
                            </a:extLst>
                          </a:blip>
                          <a:stretch>
                            <a:fillRect/>
                          </a:stretch>
                        </pic:blipFill>
                        <pic:spPr>
                          <a:xfrm>
                            <a:off x="0" y="0"/>
                            <a:ext cx="2800800" cy="1879200"/>
                          </a:xfrm>
                          <a:prstGeom prst="rect">
                            <a:avLst/>
                          </a:prstGeom>
                        </pic:spPr>
                      </pic:pic>
                    </a:graphicData>
                  </a:graphic>
                </wp:inline>
              </w:drawing>
            </w:r>
          </w:p>
        </w:tc>
        <w:tc>
          <w:tcPr>
            <w:tcW w:w="0" w:type="auto"/>
            <w:vAlign w:val="center"/>
          </w:tcPr>
          <w:p w:rsidR="007D08CE" w:rsidRDefault="007D08CE" w:rsidP="00841AA4">
            <w:pPr>
              <w:keepNext/>
              <w:jc w:val="both"/>
            </w:pPr>
            <w:r w:rsidRPr="0054673D">
              <w:rPr>
                <w:noProof/>
                <w:lang w:val="en-US"/>
              </w:rPr>
              <w:drawing>
                <wp:inline distT="0" distB="0" distL="0" distR="0" wp14:anchorId="239B6A2E" wp14:editId="1C453683">
                  <wp:extent cx="2088232" cy="23499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stretch>
                            <a:fillRect/>
                          </a:stretch>
                        </pic:blipFill>
                        <pic:spPr>
                          <a:xfrm>
                            <a:off x="0" y="0"/>
                            <a:ext cx="2088232" cy="2349915"/>
                          </a:xfrm>
                          <a:prstGeom prst="rect">
                            <a:avLst/>
                          </a:prstGeom>
                        </pic:spPr>
                      </pic:pic>
                    </a:graphicData>
                  </a:graphic>
                </wp:inline>
              </w:drawing>
            </w:r>
          </w:p>
        </w:tc>
      </w:tr>
    </w:tbl>
    <w:bookmarkStart w:id="1" w:name="_Ref92185040"/>
    <w:p w:rsidR="007D08CE" w:rsidRDefault="007D08CE" w:rsidP="007D08CE">
      <w:pPr>
        <w:pStyle w:val="Caption"/>
        <w:jc w:val="center"/>
      </w:pPr>
      <w:r>
        <w:lastRenderedPageBreak/>
        <w:fldChar w:fldCharType="begin"/>
      </w:r>
      <w:r>
        <w:instrText xml:space="preserve"> SEQ ábra \* ARABIC </w:instrText>
      </w:r>
      <w:r>
        <w:fldChar w:fldCharType="separate"/>
      </w:r>
      <w:proofErr w:type="gramStart"/>
      <w:r>
        <w:rPr>
          <w:noProof/>
        </w:rPr>
        <w:t>2</w:t>
      </w:r>
      <w:r>
        <w:fldChar w:fldCharType="end"/>
      </w:r>
      <w:r>
        <w:t>. ábra</w:t>
      </w:r>
      <w:bookmarkEnd w:id="1"/>
      <w:r>
        <w:t xml:space="preserve"> T-s diagramok és a hozzájuk tartozó ORC kapcsolások nedves (a, b), </w:t>
      </w:r>
      <w:proofErr w:type="spellStart"/>
      <w:r>
        <w:t>izentróp</w:t>
      </w:r>
      <w:proofErr w:type="spellEnd"/>
      <w:r>
        <w:t xml:space="preserve">(c, d) </w:t>
      </w:r>
      <w:r>
        <w:br/>
        <w:t>és száraz (e, f) munkaközegek esetén.</w:t>
      </w:r>
      <w:proofErr w:type="gramEnd"/>
      <w:r>
        <w:t xml:space="preserve"> </w:t>
      </w:r>
      <w:r>
        <w:fldChar w:fldCharType="begin" w:fldLock="1"/>
      </w:r>
      <w:r w:rsidR="009974CC">
        <w:instrText>ADDIN CSL_CITATION {"citationItems":[{"id":"ITEM-1","itemData":{"DOI":"10.1515/zpch-2018-1292","ISSN":"09429352","abstract":"For energy production and conversion, the use of thermodynamic cycles is still the most common way. To find the optimal solution is a multiparametric optimization problem, where some parameters are related to thermodynamic and physical chemistry, while others are associated with costs, safety, or even environmental issues. Concerning the thermodynamic aspects of the design, the selection of the working fluid is one of the crucial points. Here, we are going to show different types of adiabatic expansion processes in various pure working fluids, pointing out the ones preferred in Organic Rankine Cycles or in Trilateral Flash Cycles. The effect of these expansions on the layout of the cycles will also be presented. Finally, we are giving a few thumb-rules, derived from thermodynamic studies, useful for energy engineers to select the proper working fluid for a given thermal system.","author":[{"dropping-particle":"","family":"Imre","given":"Attila R.","non-dropping-particle":"","parse-names":false,"suffix":""},{"dropping-particle":"","family":"Groniewsky","given":"Axel","non-dropping-particle":"","parse-names":false,"suffix":""}],"container-title":"Zeitschrift fur Physikalische Chemie","id":"ITEM-1","issue":"4","issued":{"date-parts":[["2019"]]},"page":"577-594","title":"Various Ways of Adiabatic Expansion in Organic Rankine Cycle (ORC) and in Trilateral Flash Cycle (TFC)","type":"article-journal","volume":"233"},"uris":["http://www.mendeley.com/documents/?uuid=20989e26-8628-49a3-bcdf-b725d02be7e1"]}],"mendeley":{"formattedCitation":"[38]","plainTextFormattedCitation":"[38]","previouslyFormattedCitation":"[37]"},"properties":{"noteIndex":0},"schema":"https://github.com/citation-style-language/schema/raw/master/csl-citation.json"}</w:instrText>
      </w:r>
      <w:r>
        <w:fldChar w:fldCharType="separate"/>
      </w:r>
      <w:r w:rsidR="009974CC" w:rsidRPr="009974CC">
        <w:rPr>
          <w:i w:val="0"/>
          <w:noProof/>
        </w:rPr>
        <w:t>[38]</w:t>
      </w:r>
      <w:r>
        <w:fldChar w:fldCharType="end"/>
      </w:r>
    </w:p>
    <w:p w:rsidR="007D08CE" w:rsidRDefault="007D08CE" w:rsidP="007D08CE">
      <w:pPr>
        <w:jc w:val="both"/>
      </w:pPr>
    </w:p>
    <w:p w:rsidR="006F4DF4" w:rsidRPr="00425322" w:rsidRDefault="00425322" w:rsidP="004A40ED">
      <w:pPr>
        <w:pStyle w:val="Heading1"/>
      </w:pPr>
      <w:r w:rsidRPr="00425322">
        <w:t>Esettanulmány</w:t>
      </w:r>
    </w:p>
    <w:p w:rsidR="00393450" w:rsidRPr="00393450" w:rsidRDefault="00393450" w:rsidP="004A40ED">
      <w:pPr>
        <w:pStyle w:val="Heading2"/>
      </w:pPr>
      <w:r w:rsidRPr="00393450">
        <w:t xml:space="preserve">Referencia </w:t>
      </w:r>
      <w:proofErr w:type="spellStart"/>
      <w:r w:rsidRPr="00393450">
        <w:t>bio-metanizáló</w:t>
      </w:r>
      <w:proofErr w:type="spellEnd"/>
      <w:r w:rsidRPr="00393450">
        <w:t xml:space="preserve"> rendszer bemutatása</w:t>
      </w:r>
    </w:p>
    <w:p w:rsidR="00425322" w:rsidRDefault="00425322" w:rsidP="001574C9">
      <w:pPr>
        <w:jc w:val="both"/>
      </w:pPr>
      <w:r w:rsidRPr="00E03091">
        <w:t xml:space="preserve">A </w:t>
      </w:r>
      <w:proofErr w:type="spellStart"/>
      <w:r w:rsidRPr="00E03091">
        <w:t>bio</w:t>
      </w:r>
      <w:r>
        <w:t>-</w:t>
      </w:r>
      <w:r w:rsidRPr="00E03091">
        <w:t>metanizáció</w:t>
      </w:r>
      <w:proofErr w:type="spellEnd"/>
      <w:r w:rsidRPr="00E03091">
        <w:t xml:space="preserve"> folyamán</w:t>
      </w:r>
      <w:r>
        <w:t xml:space="preserve"> keletkező hulladékhő ORC-</w:t>
      </w:r>
      <w:proofErr w:type="spellStart"/>
      <w:r>
        <w:t>be</w:t>
      </w:r>
      <w:r w:rsidRPr="00E03091">
        <w:t>n</w:t>
      </w:r>
      <w:proofErr w:type="spellEnd"/>
      <w:r w:rsidRPr="00E03091">
        <w:t xml:space="preserve"> való hasznosításának vizsgálata során referenciaként alkalmazott </w:t>
      </w:r>
      <w:proofErr w:type="spellStart"/>
      <w:r w:rsidRPr="00E03091">
        <w:t>biometán</w:t>
      </w:r>
      <w:proofErr w:type="spellEnd"/>
      <w:r w:rsidRPr="00E03091">
        <w:t xml:space="preserve"> előállító (</w:t>
      </w:r>
      <w:proofErr w:type="spellStart"/>
      <w:r w:rsidRPr="00E03091">
        <w:t>BioCat</w:t>
      </w:r>
      <w:proofErr w:type="spellEnd"/>
      <w:r w:rsidRPr="00E03091">
        <w:t xml:space="preserve">) üzemet 2015 novembere és 2016 márciusa között állították fel </w:t>
      </w:r>
      <w:proofErr w:type="spellStart"/>
      <w:r w:rsidRPr="00E03091">
        <w:t>Avedøre-ben</w:t>
      </w:r>
      <w:proofErr w:type="spellEnd"/>
      <w:r w:rsidRPr="00E03091">
        <w:t xml:space="preserve"> (</w:t>
      </w:r>
      <w:r w:rsidR="001574C9">
        <w:t>Dánia</w:t>
      </w:r>
      <w:r w:rsidRPr="00E03091">
        <w:t xml:space="preserve">, </w:t>
      </w:r>
      <w:r w:rsidR="001574C9">
        <w:t>Koppenhága vonzáskörzet</w:t>
      </w:r>
      <w:r w:rsidRPr="00E03091">
        <w:t xml:space="preserve">), a BIOFOS szennyvíztisztító telephelyén. </w:t>
      </w:r>
      <w:r>
        <w:t xml:space="preserve">A rendszer, melynek kapcsolása </w:t>
      </w:r>
      <w:r w:rsidR="005E7C96">
        <w:t xml:space="preserve">a </w:t>
      </w:r>
      <w:r w:rsidR="005E7C96">
        <w:fldChar w:fldCharType="begin"/>
      </w:r>
      <w:r w:rsidR="005E7C96">
        <w:instrText xml:space="preserve"> REF _Ref92195548 \h </w:instrText>
      </w:r>
      <w:r w:rsidR="005E7C96">
        <w:fldChar w:fldCharType="separate"/>
      </w:r>
      <w:r w:rsidR="005E7C96">
        <w:rPr>
          <w:noProof/>
        </w:rPr>
        <w:t>3</w:t>
      </w:r>
      <w:r w:rsidR="005E7C96">
        <w:t xml:space="preserve">. </w:t>
      </w:r>
      <w:proofErr w:type="spellStart"/>
      <w:r w:rsidR="005E7C96">
        <w:t>ábra</w:t>
      </w:r>
      <w:r w:rsidR="005E7C96">
        <w:fldChar w:fldCharType="end"/>
      </w:r>
      <w:r w:rsidR="005E7C96">
        <w:t>n</w:t>
      </w:r>
      <w:proofErr w:type="spellEnd"/>
      <w:r w:rsidR="005E7C96">
        <w:t xml:space="preserve"> l</w:t>
      </w:r>
      <w:r w:rsidR="005E7C96" w:rsidRPr="005E7C96">
        <w:t>á</w:t>
      </w:r>
      <w:r w:rsidRPr="005E7C96">
        <w:t>tható,</w:t>
      </w:r>
      <w:r>
        <w:t xml:space="preserve"> magába foglalja a 9 m magas </w:t>
      </w:r>
      <w:proofErr w:type="spellStart"/>
      <w:r>
        <w:t>BioCat</w:t>
      </w:r>
      <w:proofErr w:type="spellEnd"/>
      <w:r>
        <w:t xml:space="preserve"> reaktort egy 12 m magas vázban, egy 600 kW teljesítményű </w:t>
      </w:r>
      <w:proofErr w:type="spellStart"/>
      <w:r>
        <w:t>elektrolizálót</w:t>
      </w:r>
      <w:proofErr w:type="spellEnd"/>
      <w:r>
        <w:t xml:space="preserve">, továbbá több </w:t>
      </w:r>
      <w:proofErr w:type="gramStart"/>
      <w:r>
        <w:t>konténert</w:t>
      </w:r>
      <w:proofErr w:type="gramEnd"/>
      <w:r>
        <w:t xml:space="preserve"> a közművek számára (vízlágyítás, magas tisztaságú sűrített levegő, vezérlőterem és gázelemző). </w:t>
      </w:r>
    </w:p>
    <w:p w:rsidR="001574C9" w:rsidRDefault="00425322" w:rsidP="001574C9">
      <w:pPr>
        <w:keepNext/>
      </w:pPr>
      <w:r>
        <w:rPr>
          <w:noProof/>
          <w:lang w:val="en-US"/>
        </w:rPr>
        <w:drawing>
          <wp:inline distT="0" distB="0" distL="0" distR="0" wp14:anchorId="2649043A" wp14:editId="5A33E73B">
            <wp:extent cx="5760000" cy="3768081"/>
            <wp:effectExtent l="0" t="0" r="0" b="4445"/>
            <wp:docPr id="52" name="Kép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00" cy="3768081"/>
                    </a:xfrm>
                    <a:prstGeom prst="rect">
                      <a:avLst/>
                    </a:prstGeom>
                    <a:noFill/>
                  </pic:spPr>
                </pic:pic>
              </a:graphicData>
            </a:graphic>
          </wp:inline>
        </w:drawing>
      </w:r>
    </w:p>
    <w:bookmarkStart w:id="2" w:name="_Ref92195548"/>
    <w:bookmarkStart w:id="3" w:name="_Ref92195530"/>
    <w:p w:rsidR="00425322" w:rsidRDefault="001574C9" w:rsidP="001574C9">
      <w:pPr>
        <w:pStyle w:val="Caption"/>
        <w:jc w:val="center"/>
      </w:pPr>
      <w:r>
        <w:fldChar w:fldCharType="begin"/>
      </w:r>
      <w:r>
        <w:instrText xml:space="preserve"> SEQ ábra \* ARABIC </w:instrText>
      </w:r>
      <w:r>
        <w:fldChar w:fldCharType="separate"/>
      </w:r>
      <w:proofErr w:type="gramStart"/>
      <w:r w:rsidR="007D08CE">
        <w:rPr>
          <w:noProof/>
        </w:rPr>
        <w:t>3</w:t>
      </w:r>
      <w:r>
        <w:fldChar w:fldCharType="end"/>
      </w:r>
      <w:r>
        <w:t>. ábra</w:t>
      </w:r>
      <w:bookmarkEnd w:id="2"/>
      <w:r>
        <w:t xml:space="preserve"> </w:t>
      </w:r>
      <w:r w:rsidRPr="00524D8E">
        <w:t xml:space="preserve">Referencia </w:t>
      </w:r>
      <w:proofErr w:type="spellStart"/>
      <w:r w:rsidRPr="00524D8E">
        <w:t>bio-metanizáló</w:t>
      </w:r>
      <w:proofErr w:type="spellEnd"/>
      <w:r w:rsidRPr="00524D8E">
        <w:t xml:space="preserve"> üzem bemutatása</w:t>
      </w:r>
      <w:proofErr w:type="gramEnd"/>
      <w:r w:rsidR="009B14E8">
        <w:t xml:space="preserve"> </w:t>
      </w:r>
      <w:r w:rsidR="009B14E8">
        <w:fldChar w:fldCharType="begin" w:fldLock="1"/>
      </w:r>
      <w:r w:rsidR="009974CC">
        <w:instrText>ADDIN CSL_CITATION {"citationItems":[{"id":"ITEM-1","itemData":{"author":[{"dropping-particle":"","family":"Kluge","given":"Martin","non-dropping-particle":"","parse-names":false,"suffix":""},{"dropping-particle":"","family":"Bach","given":"David","non-dropping-particle":"","parse-names":false,"suffix":""}],"container-title":"Full scale demonstration of energy positive sewage treatment plant concepts towards market penetration (POWERSTEP)","id":"ITEM-1","issued":{"date-parts":[["2018"]]},"number-of-pages":"1-42","title":"WP3 – Biogas valorization and efficient energy management (Technical and economic analysis of biological methanation)","type":"report"},"uris":["http://www.mendeley.com/documents/?uuid=cf986e01-5e90-4be6-8c3b-24ca06a036b8"]}],"mendeley":{"formattedCitation":"[39]","plainTextFormattedCitation":"[39]","previouslyFormattedCitation":"[38]"},"properties":{"noteIndex":0},"schema":"https://github.com/citation-style-language/schema/raw/master/csl-citation.json"}</w:instrText>
      </w:r>
      <w:r w:rsidR="009B14E8">
        <w:fldChar w:fldCharType="separate"/>
      </w:r>
      <w:r w:rsidR="009974CC" w:rsidRPr="009974CC">
        <w:rPr>
          <w:i w:val="0"/>
          <w:noProof/>
        </w:rPr>
        <w:t>[39]</w:t>
      </w:r>
      <w:r w:rsidR="009B14E8">
        <w:fldChar w:fldCharType="end"/>
      </w:r>
      <w:bookmarkEnd w:id="3"/>
    </w:p>
    <w:p w:rsidR="00425322" w:rsidRDefault="00425322" w:rsidP="00CE7254">
      <w:pPr>
        <w:jc w:val="both"/>
      </w:pPr>
      <w:r>
        <w:t>Az üzemet 50 Nm</w:t>
      </w:r>
      <w:r w:rsidRPr="00623863">
        <w:rPr>
          <w:vertAlign w:val="superscript"/>
        </w:rPr>
        <w:t>3</w:t>
      </w:r>
      <w:r>
        <w:t xml:space="preserve"> CO</w:t>
      </w:r>
      <w:r w:rsidRPr="00623863">
        <w:rPr>
          <w:vertAlign w:val="subscript"/>
        </w:rPr>
        <w:t>2</w:t>
      </w:r>
      <w:r>
        <w:t xml:space="preserve">/h kezelésére tervezték. Szénforrásként vagy a városi szennyvíziszap anaerob lebontása során keletkező biogázt, vagy a befecskendezés előtt a nyers biogáz tisztítása során keletkező mellékgázt alkalmazzák. A biológiai </w:t>
      </w:r>
      <w:proofErr w:type="spellStart"/>
      <w:r>
        <w:t>metanizációhoz</w:t>
      </w:r>
      <w:proofErr w:type="spellEnd"/>
      <w:r>
        <w:t xml:space="preserve"> szükséges hidrogént a helyszínen egy </w:t>
      </w:r>
      <w:proofErr w:type="spellStart"/>
      <w:r>
        <w:t>elektrolizáló</w:t>
      </w:r>
      <w:proofErr w:type="spellEnd"/>
      <w:r>
        <w:t xml:space="preserve"> berendezés állítja elő, melynek maximális termelési </w:t>
      </w:r>
      <w:proofErr w:type="gramStart"/>
      <w:r>
        <w:t>kapacitása</w:t>
      </w:r>
      <w:proofErr w:type="gramEnd"/>
      <w:r>
        <w:t xml:space="preserve"> 110 Nm</w:t>
      </w:r>
      <w:r w:rsidRPr="00623863">
        <w:rPr>
          <w:vertAlign w:val="superscript"/>
        </w:rPr>
        <w:t>3</w:t>
      </w:r>
      <w:r w:rsidR="00CE7254">
        <w:t> </w:t>
      </w:r>
      <w:r>
        <w:t>H</w:t>
      </w:r>
      <w:r w:rsidRPr="00623863">
        <w:rPr>
          <w:vertAlign w:val="subscript"/>
        </w:rPr>
        <w:t>2</w:t>
      </w:r>
      <w:r>
        <w:t>/h. A biológiai rektort elhagyó gázt utókezelésnek vetik alá a víz, a por és a szennyeződések, valamint a felesleges H</w:t>
      </w:r>
      <w:r w:rsidRPr="00623863">
        <w:rPr>
          <w:vertAlign w:val="subscript"/>
        </w:rPr>
        <w:t>2</w:t>
      </w:r>
      <w:r>
        <w:t xml:space="preserve"> és/vagy a nem </w:t>
      </w:r>
      <w:proofErr w:type="gramStart"/>
      <w:r>
        <w:t>reagált</w:t>
      </w:r>
      <w:proofErr w:type="gramEnd"/>
      <w:r>
        <w:t xml:space="preserve"> CO</w:t>
      </w:r>
      <w:r w:rsidRPr="00865A86">
        <w:rPr>
          <w:vertAlign w:val="subscript"/>
        </w:rPr>
        <w:t>2</w:t>
      </w:r>
      <w:r>
        <w:t xml:space="preserve"> eltávolítása érdekében. Az utókezelési fázisok során keletkező maradékgázt visszavezetik a reaktorba, míg a </w:t>
      </w:r>
      <w:proofErr w:type="spellStart"/>
      <w:r>
        <w:t>főáram</w:t>
      </w:r>
      <w:proofErr w:type="spellEnd"/>
      <w:r>
        <w:t xml:space="preserve"> a földgázhálózatba kerül betáplálásra. </w:t>
      </w:r>
      <w:proofErr w:type="gramStart"/>
      <w:r>
        <w:t xml:space="preserve">A bemutatott referenciaüzemben a </w:t>
      </w:r>
      <w:r>
        <w:lastRenderedPageBreak/>
        <w:t xml:space="preserve">reaktor által termelt metabolikus hő egy vízhurkon került visszavezetésre a </w:t>
      </w:r>
      <w:proofErr w:type="spellStart"/>
      <w:r>
        <w:t>Biofos</w:t>
      </w:r>
      <w:proofErr w:type="spellEnd"/>
      <w:r>
        <w:t>-hoz, hogy a biogáz előállítás hőigényét támogassák</w:t>
      </w:r>
      <w:proofErr w:type="gramEnd"/>
      <w:r w:rsidR="00DA5418">
        <w:t xml:space="preserve"> </w:t>
      </w:r>
      <w:r w:rsidR="00DA5418">
        <w:fldChar w:fldCharType="begin" w:fldLock="1"/>
      </w:r>
      <w:r w:rsidR="009974CC">
        <w:instrText>ADDIN CSL_CITATION {"citationItems":[{"id":"ITEM-1","itemData":{"author":[{"dropping-particle":"","family":"Kluge","given":"Martin","non-dropping-particle":"","parse-names":false,"suffix":""},{"dropping-particle":"","family":"Bach","given":"David","non-dropping-particle":"","parse-names":false,"suffix":""}],"container-title":"Full scale demonstration of energy positive sewage treatment plant concepts towards market penetration (POWERSTEP)","id":"ITEM-1","issued":{"date-parts":[["2018"]]},"number-of-pages":"1-42","title":"WP3 – Biogas valorization and efficient energy management (Technical and economic analysis of biological methanation)","type":"report"},"uris":["http://www.mendeley.com/documents/?uuid=cf986e01-5e90-4be6-8c3b-24ca06a036b8"]}],"mendeley":{"formattedCitation":"[39]","plainTextFormattedCitation":"[39]","previouslyFormattedCitation":"[38]"},"properties":{"noteIndex":0},"schema":"https://github.com/citation-style-language/schema/raw/master/csl-citation.json"}</w:instrText>
      </w:r>
      <w:r w:rsidR="00DA5418">
        <w:fldChar w:fldCharType="separate"/>
      </w:r>
      <w:r w:rsidR="009974CC" w:rsidRPr="009974CC">
        <w:rPr>
          <w:noProof/>
        </w:rPr>
        <w:t>[39]</w:t>
      </w:r>
      <w:r w:rsidR="00DA5418">
        <w:fldChar w:fldCharType="end"/>
      </w:r>
      <w:r w:rsidR="00DA5418">
        <w:t>.</w:t>
      </w:r>
    </w:p>
    <w:p w:rsidR="00425322" w:rsidRDefault="00425322" w:rsidP="00DA5418">
      <w:pPr>
        <w:jc w:val="both"/>
      </w:pPr>
      <w:r>
        <w:t xml:space="preserve">Az általunk vizsgált modellben a biológia-metán előállítás során keletkező hulladékhő teljes mennyisége </w:t>
      </w:r>
      <w:r w:rsidR="000C5E14">
        <w:t>szerves</w:t>
      </w:r>
      <w:r>
        <w:t xml:space="preserve"> </w:t>
      </w:r>
      <w:proofErr w:type="spellStart"/>
      <w:r>
        <w:t>Rankine</w:t>
      </w:r>
      <w:proofErr w:type="spellEnd"/>
      <w:r>
        <w:t xml:space="preserve">-ciklusban kerül felhasználásra. A rendszerben két ponton keletkezik elegendően magas hőmérsékletű hulladékhő, az egyik a már említett reaktorban képződő metabolikus hő, a másik pedig az elektrolízis során keletkező, levegővel elvezetett hő. A referencia </w:t>
      </w:r>
      <w:proofErr w:type="spellStart"/>
      <w:r>
        <w:t>bio-metanizáló</w:t>
      </w:r>
      <w:proofErr w:type="spellEnd"/>
      <w:r>
        <w:t xml:space="preserve"> rendszer energia </w:t>
      </w:r>
      <w:r w:rsidRPr="00DA5418">
        <w:t xml:space="preserve">mérlege a </w:t>
      </w:r>
      <w:r w:rsidR="00DA5418" w:rsidRPr="00DA5418">
        <w:fldChar w:fldCharType="begin"/>
      </w:r>
      <w:r w:rsidR="00DA5418" w:rsidRPr="00DA5418">
        <w:instrText xml:space="preserve"> REF _Ref92197201 \h </w:instrText>
      </w:r>
      <w:r w:rsidR="00DA5418">
        <w:instrText xml:space="preserve"> \* MERGEFORMAT </w:instrText>
      </w:r>
      <w:r w:rsidR="00DA5418" w:rsidRPr="00DA5418">
        <w:fldChar w:fldCharType="separate"/>
      </w:r>
      <w:r w:rsidR="00DA5418" w:rsidRPr="00DA5418">
        <w:rPr>
          <w:noProof/>
        </w:rPr>
        <w:t>4</w:t>
      </w:r>
      <w:r w:rsidR="00DA5418" w:rsidRPr="00DA5418">
        <w:t xml:space="preserve">. </w:t>
      </w:r>
      <w:proofErr w:type="spellStart"/>
      <w:r w:rsidR="00DA5418" w:rsidRPr="00DA5418">
        <w:t>ábra</w:t>
      </w:r>
      <w:r w:rsidR="00DA5418" w:rsidRPr="00DA5418">
        <w:fldChar w:fldCharType="end"/>
      </w:r>
      <w:r w:rsidR="00DA5418" w:rsidRPr="00DA5418">
        <w:t>n</w:t>
      </w:r>
      <w:proofErr w:type="spellEnd"/>
      <w:r w:rsidRPr="00DA5418">
        <w:t xml:space="preserve"> látható.</w:t>
      </w:r>
    </w:p>
    <w:p w:rsidR="00425322" w:rsidRDefault="00425322" w:rsidP="00425322">
      <w:pPr>
        <w:keepNext/>
      </w:pPr>
      <w:r>
        <w:rPr>
          <w:noProof/>
          <w:lang w:val="en-US"/>
        </w:rPr>
        <w:drawing>
          <wp:inline distT="0" distB="0" distL="0" distR="0" wp14:anchorId="73212466" wp14:editId="597E4DE5">
            <wp:extent cx="5760000" cy="2572474"/>
            <wp:effectExtent l="0" t="0" r="0" b="0"/>
            <wp:docPr id="53" name="Kép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00" cy="2572474"/>
                    </a:xfrm>
                    <a:prstGeom prst="rect">
                      <a:avLst/>
                    </a:prstGeom>
                    <a:noFill/>
                  </pic:spPr>
                </pic:pic>
              </a:graphicData>
            </a:graphic>
          </wp:inline>
        </w:drawing>
      </w:r>
    </w:p>
    <w:bookmarkStart w:id="4" w:name="_Ref92197201"/>
    <w:p w:rsidR="00425322" w:rsidRDefault="00425322" w:rsidP="00425322">
      <w:pPr>
        <w:pStyle w:val="Caption"/>
        <w:jc w:val="center"/>
      </w:pPr>
      <w:r w:rsidRPr="00DA5418">
        <w:fldChar w:fldCharType="begin"/>
      </w:r>
      <w:r w:rsidRPr="00DA5418">
        <w:instrText xml:space="preserve"> SEQ ábra \* ARABIC </w:instrText>
      </w:r>
      <w:r w:rsidRPr="00DA5418">
        <w:fldChar w:fldCharType="separate"/>
      </w:r>
      <w:r w:rsidR="001574C9" w:rsidRPr="00DA5418">
        <w:rPr>
          <w:noProof/>
        </w:rPr>
        <w:t>4</w:t>
      </w:r>
      <w:r w:rsidRPr="00DA5418">
        <w:fldChar w:fldCharType="end"/>
      </w:r>
      <w:r w:rsidRPr="00DA5418">
        <w:t>. ábra</w:t>
      </w:r>
      <w:bookmarkEnd w:id="4"/>
      <w:r w:rsidRPr="00DA5418">
        <w:t xml:space="preserve">. </w:t>
      </w:r>
      <w:proofErr w:type="gramStart"/>
      <w:r w:rsidRPr="00DA5418">
        <w:t xml:space="preserve">A referencia </w:t>
      </w:r>
      <w:proofErr w:type="spellStart"/>
      <w:r w:rsidRPr="00DA5418">
        <w:t>bio-metanizáló</w:t>
      </w:r>
      <w:proofErr w:type="spellEnd"/>
      <w:r>
        <w:t xml:space="preserve"> rendszer energia mérlege</w:t>
      </w:r>
      <w:proofErr w:type="gramEnd"/>
      <w:r w:rsidR="004A6939">
        <w:t xml:space="preserve"> </w:t>
      </w:r>
      <w:r w:rsidR="004A6939">
        <w:fldChar w:fldCharType="begin" w:fldLock="1"/>
      </w:r>
      <w:r w:rsidR="009974CC">
        <w:instrText>ADDIN CSL_CITATION {"citationItems":[{"id":"ITEM-1","itemData":{"author":[{"dropping-particle":"","family":"Kluge","given":"Martin","non-dropping-particle":"","parse-names":false,"suffix":""},{"dropping-particle":"","family":"Bach","given":"David","non-dropping-particle":"","parse-names":false,"suffix":""}],"container-title":"Full scale demonstration of energy positive sewage treatment plant concepts towards market penetration (POWERSTEP)","id":"ITEM-1","issued":{"date-parts":[["2018"]]},"number-of-pages":"1-42","title":"WP3 – Biogas valorization and efficient energy management (Technical and economic analysis of biological methanation)","type":"report"},"uris":["http://www.mendeley.com/documents/?uuid=cf986e01-5e90-4be6-8c3b-24ca06a036b8"]}],"mendeley":{"formattedCitation":"[39]","plainTextFormattedCitation":"[39]","previouslyFormattedCitation":"[38]"},"properties":{"noteIndex":0},"schema":"https://github.com/citation-style-language/schema/raw/master/csl-citation.json"}</w:instrText>
      </w:r>
      <w:r w:rsidR="004A6939">
        <w:fldChar w:fldCharType="separate"/>
      </w:r>
      <w:r w:rsidR="009974CC" w:rsidRPr="009974CC">
        <w:rPr>
          <w:i w:val="0"/>
          <w:noProof/>
        </w:rPr>
        <w:t>[39]</w:t>
      </w:r>
      <w:r w:rsidR="004A6939">
        <w:fldChar w:fldCharType="end"/>
      </w:r>
    </w:p>
    <w:p w:rsidR="00425322" w:rsidRPr="00EC1EC7" w:rsidRDefault="00425322" w:rsidP="00DA5418">
      <w:pPr>
        <w:jc w:val="both"/>
      </w:pPr>
      <w:r w:rsidRPr="005F69F4">
        <w:t>A vizsgált modellben alkáli</w:t>
      </w:r>
      <w:r w:rsidR="00EC1EC7">
        <w:t>ku</w:t>
      </w:r>
      <w:r w:rsidRPr="005F69F4">
        <w:t xml:space="preserve">s </w:t>
      </w:r>
      <w:proofErr w:type="spellStart"/>
      <w:r w:rsidRPr="005F69F4">
        <w:t>elektrolizáló</w:t>
      </w:r>
      <w:proofErr w:type="spellEnd"/>
      <w:r w:rsidRPr="005F69F4">
        <w:t xml:space="preserve"> és ex-situ biológiai </w:t>
      </w:r>
      <w:proofErr w:type="spellStart"/>
      <w:r w:rsidRPr="005F69F4">
        <w:t>metanizáció</w:t>
      </w:r>
      <w:proofErr w:type="spellEnd"/>
      <w:r w:rsidRPr="005F69F4">
        <w:t xml:space="preserve"> van, melynek alapján szakirodalomban található adatok segítségével </w:t>
      </w:r>
      <w:r>
        <w:t>becsülhető</w:t>
      </w:r>
      <w:r w:rsidRPr="005F69F4">
        <w:t>, hogy az egyes pontokon milyen hőmérsékleten áll rendelkezésre a hulladékhő. Az</w:t>
      </w:r>
      <w:r>
        <w:t xml:space="preserve"> ORC-</w:t>
      </w:r>
      <w:proofErr w:type="spellStart"/>
      <w:r>
        <w:t>ben</w:t>
      </w:r>
      <w:proofErr w:type="spellEnd"/>
      <w:r>
        <w:t xml:space="preserve"> hasznosítható hulladékhő paraméterei </w:t>
      </w:r>
      <w:r w:rsidRPr="00EC1EC7">
        <w:t>az 1. táblázatban láthatóak.</w:t>
      </w:r>
    </w:p>
    <w:p w:rsidR="00425322" w:rsidRDefault="00425322" w:rsidP="00425322">
      <w:pPr>
        <w:pStyle w:val="Caption"/>
        <w:keepNext/>
        <w:jc w:val="center"/>
      </w:pPr>
      <w:r w:rsidRPr="00EC1EC7">
        <w:fldChar w:fldCharType="begin"/>
      </w:r>
      <w:r w:rsidRPr="00EC1EC7">
        <w:instrText xml:space="preserve"> SEQ táblázat \* ARABIC </w:instrText>
      </w:r>
      <w:r w:rsidRPr="00EC1EC7">
        <w:fldChar w:fldCharType="separate"/>
      </w:r>
      <w:r w:rsidR="00EC1EC7" w:rsidRPr="00EC1EC7">
        <w:rPr>
          <w:noProof/>
        </w:rPr>
        <w:t>1</w:t>
      </w:r>
      <w:r w:rsidRPr="00EC1EC7">
        <w:fldChar w:fldCharType="end"/>
      </w:r>
      <w:r w:rsidRPr="00EC1EC7">
        <w:t xml:space="preserve">. táblázat </w:t>
      </w:r>
      <w:proofErr w:type="spellStart"/>
      <w:r w:rsidRPr="00EC1EC7">
        <w:t>Bio-metanizálóban</w:t>
      </w:r>
      <w:proofErr w:type="spellEnd"/>
      <w:r w:rsidRPr="00EC1EC7">
        <w:t xml:space="preserve"> keletkező hulladékhő</w:t>
      </w:r>
      <w:r>
        <w:t xml:space="preserve"> </w:t>
      </w:r>
    </w:p>
    <w:tbl>
      <w:tblPr>
        <w:tblW w:w="8105" w:type="dxa"/>
        <w:jc w:val="center"/>
        <w:tblBorders>
          <w:insideH w:val="single" w:sz="4" w:space="0" w:color="auto"/>
        </w:tblBorders>
        <w:tblCellMar>
          <w:left w:w="70" w:type="dxa"/>
          <w:right w:w="70" w:type="dxa"/>
        </w:tblCellMar>
        <w:tblLook w:val="04A0" w:firstRow="1" w:lastRow="0" w:firstColumn="1" w:lastColumn="0" w:noHBand="0" w:noVBand="1"/>
      </w:tblPr>
      <w:tblGrid>
        <w:gridCol w:w="1418"/>
        <w:gridCol w:w="960"/>
        <w:gridCol w:w="1420"/>
        <w:gridCol w:w="1447"/>
        <w:gridCol w:w="1320"/>
        <w:gridCol w:w="1540"/>
      </w:tblGrid>
      <w:tr w:rsidR="00425322" w:rsidRPr="00747F87" w:rsidTr="00393450">
        <w:trPr>
          <w:trHeight w:val="300"/>
          <w:jc w:val="center"/>
        </w:trPr>
        <w:tc>
          <w:tcPr>
            <w:tcW w:w="1418" w:type="dxa"/>
            <w:tcBorders>
              <w:bottom w:val="single" w:sz="4" w:space="0" w:color="auto"/>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Keletkezési pont</w:t>
            </w:r>
          </w:p>
        </w:tc>
        <w:tc>
          <w:tcPr>
            <w:tcW w:w="960" w:type="dxa"/>
            <w:tcBorders>
              <w:bottom w:val="single" w:sz="4" w:space="0" w:color="auto"/>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 xml:space="preserve">Közeg </w:t>
            </w:r>
          </w:p>
        </w:tc>
        <w:tc>
          <w:tcPr>
            <w:tcW w:w="1420" w:type="dxa"/>
            <w:tcBorders>
              <w:bottom w:val="single" w:sz="4" w:space="0" w:color="auto"/>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Hőáram</w:t>
            </w:r>
          </w:p>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[kW]</w:t>
            </w:r>
          </w:p>
        </w:tc>
        <w:tc>
          <w:tcPr>
            <w:tcW w:w="1447" w:type="dxa"/>
            <w:tcBorders>
              <w:bottom w:val="single" w:sz="4" w:space="0" w:color="auto"/>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Hőmérséklet [°C]</w:t>
            </w:r>
          </w:p>
        </w:tc>
        <w:tc>
          <w:tcPr>
            <w:tcW w:w="1320" w:type="dxa"/>
            <w:tcBorders>
              <w:bottom w:val="single" w:sz="4" w:space="0" w:color="auto"/>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Nyomás [bar]</w:t>
            </w:r>
          </w:p>
        </w:tc>
        <w:tc>
          <w:tcPr>
            <w:tcW w:w="1540" w:type="dxa"/>
            <w:tcBorders>
              <w:bottom w:val="single" w:sz="4" w:space="0" w:color="auto"/>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Tömegáram [kg/s]</w:t>
            </w:r>
          </w:p>
        </w:tc>
      </w:tr>
      <w:tr w:rsidR="00425322" w:rsidRPr="00747F87" w:rsidTr="00393450">
        <w:trPr>
          <w:trHeight w:val="300"/>
          <w:jc w:val="center"/>
        </w:trPr>
        <w:tc>
          <w:tcPr>
            <w:tcW w:w="1418" w:type="dxa"/>
            <w:tcBorders>
              <w:top w:val="single" w:sz="4" w:space="0" w:color="auto"/>
              <w:bottom w:val="nil"/>
            </w:tcBorders>
            <w:shd w:val="clear" w:color="auto" w:fill="auto"/>
            <w:noWrap/>
            <w:vAlign w:val="center"/>
            <w:hideMark/>
          </w:tcPr>
          <w:p w:rsidR="00425322" w:rsidRPr="00747F87" w:rsidRDefault="00425322" w:rsidP="00393450">
            <w:pPr>
              <w:spacing w:before="120" w:after="120" w:line="240" w:lineRule="auto"/>
              <w:jc w:val="center"/>
              <w:rPr>
                <w:rFonts w:eastAsia="Times New Roman" w:cs="Calibri"/>
                <w:color w:val="000000"/>
                <w:lang w:eastAsia="hu-HU"/>
              </w:rPr>
            </w:pPr>
            <w:proofErr w:type="spellStart"/>
            <w:r w:rsidRPr="00747F87">
              <w:rPr>
                <w:rFonts w:eastAsia="Times New Roman" w:cs="Calibri"/>
                <w:color w:val="000000"/>
                <w:lang w:eastAsia="hu-HU"/>
              </w:rPr>
              <w:t>Elektrolizáló</w:t>
            </w:r>
            <w:proofErr w:type="spellEnd"/>
          </w:p>
        </w:tc>
        <w:tc>
          <w:tcPr>
            <w:tcW w:w="960" w:type="dxa"/>
            <w:tcBorders>
              <w:top w:val="single" w:sz="4" w:space="0" w:color="auto"/>
              <w:bottom w:val="nil"/>
            </w:tcBorders>
            <w:shd w:val="clear" w:color="auto" w:fill="auto"/>
            <w:noWrap/>
            <w:vAlign w:val="center"/>
            <w:hideMark/>
          </w:tcPr>
          <w:p w:rsidR="00425322" w:rsidRPr="00747F87" w:rsidRDefault="00425322" w:rsidP="00393450">
            <w:pPr>
              <w:spacing w:before="120" w:after="120" w:line="240" w:lineRule="auto"/>
              <w:jc w:val="center"/>
              <w:rPr>
                <w:rFonts w:eastAsia="Times New Roman" w:cs="Calibri"/>
                <w:color w:val="000000"/>
                <w:lang w:eastAsia="hu-HU"/>
              </w:rPr>
            </w:pPr>
            <w:r w:rsidRPr="00747F87">
              <w:rPr>
                <w:rFonts w:eastAsia="Times New Roman" w:cs="Calibri"/>
                <w:color w:val="000000"/>
                <w:lang w:eastAsia="hu-HU"/>
              </w:rPr>
              <w:t>levegő</w:t>
            </w:r>
          </w:p>
        </w:tc>
        <w:tc>
          <w:tcPr>
            <w:tcW w:w="1420" w:type="dxa"/>
            <w:tcBorders>
              <w:top w:val="single" w:sz="4" w:space="0" w:color="auto"/>
              <w:bottom w:val="nil"/>
            </w:tcBorders>
            <w:shd w:val="clear" w:color="auto" w:fill="auto"/>
            <w:noWrap/>
            <w:vAlign w:val="center"/>
            <w:hideMark/>
          </w:tcPr>
          <w:p w:rsidR="00425322" w:rsidRPr="00747F87" w:rsidRDefault="00425322" w:rsidP="00393450">
            <w:pPr>
              <w:spacing w:before="120" w:after="120" w:line="240" w:lineRule="auto"/>
              <w:jc w:val="center"/>
              <w:rPr>
                <w:rFonts w:eastAsia="Times New Roman" w:cs="Calibri"/>
                <w:color w:val="000000"/>
                <w:lang w:eastAsia="hu-HU"/>
              </w:rPr>
            </w:pPr>
            <w:r w:rsidRPr="00747F87">
              <w:rPr>
                <w:rFonts w:eastAsia="Times New Roman" w:cs="Calibri"/>
                <w:color w:val="000000"/>
                <w:lang w:eastAsia="hu-HU"/>
              </w:rPr>
              <w:t>200</w:t>
            </w:r>
          </w:p>
        </w:tc>
        <w:tc>
          <w:tcPr>
            <w:tcW w:w="1447" w:type="dxa"/>
            <w:tcBorders>
              <w:top w:val="single" w:sz="4" w:space="0" w:color="auto"/>
              <w:bottom w:val="nil"/>
            </w:tcBorders>
            <w:shd w:val="clear" w:color="auto" w:fill="auto"/>
            <w:noWrap/>
            <w:vAlign w:val="center"/>
            <w:hideMark/>
          </w:tcPr>
          <w:p w:rsidR="00425322" w:rsidRPr="00747F87" w:rsidRDefault="00425322" w:rsidP="00393450">
            <w:pPr>
              <w:spacing w:before="120" w:after="120" w:line="240" w:lineRule="auto"/>
              <w:jc w:val="center"/>
              <w:rPr>
                <w:rFonts w:eastAsia="Times New Roman" w:cs="Calibri"/>
                <w:color w:val="000000"/>
                <w:lang w:eastAsia="hu-HU"/>
              </w:rPr>
            </w:pPr>
            <w:r w:rsidRPr="00747F87">
              <w:rPr>
                <w:rFonts w:eastAsia="Times New Roman" w:cs="Calibri"/>
                <w:color w:val="000000"/>
                <w:lang w:eastAsia="hu-HU"/>
              </w:rPr>
              <w:t>70</w:t>
            </w:r>
          </w:p>
        </w:tc>
        <w:tc>
          <w:tcPr>
            <w:tcW w:w="1320" w:type="dxa"/>
            <w:tcBorders>
              <w:top w:val="single" w:sz="4" w:space="0" w:color="auto"/>
              <w:bottom w:val="nil"/>
            </w:tcBorders>
            <w:shd w:val="clear" w:color="auto" w:fill="auto"/>
            <w:noWrap/>
            <w:vAlign w:val="center"/>
            <w:hideMark/>
          </w:tcPr>
          <w:p w:rsidR="00425322" w:rsidRPr="00747F87" w:rsidRDefault="00425322" w:rsidP="00393450">
            <w:pPr>
              <w:spacing w:before="120" w:after="120" w:line="240" w:lineRule="auto"/>
              <w:jc w:val="center"/>
              <w:rPr>
                <w:rFonts w:eastAsia="Times New Roman" w:cs="Calibri"/>
                <w:color w:val="000000"/>
                <w:lang w:eastAsia="hu-HU"/>
              </w:rPr>
            </w:pPr>
            <w:r w:rsidRPr="00747F87">
              <w:rPr>
                <w:rFonts w:eastAsia="Times New Roman" w:cs="Calibri"/>
                <w:color w:val="000000"/>
                <w:lang w:eastAsia="hu-HU"/>
              </w:rPr>
              <w:t>30</w:t>
            </w:r>
          </w:p>
        </w:tc>
        <w:tc>
          <w:tcPr>
            <w:tcW w:w="1540" w:type="dxa"/>
            <w:tcBorders>
              <w:top w:val="single" w:sz="4" w:space="0" w:color="auto"/>
              <w:bottom w:val="nil"/>
            </w:tcBorders>
            <w:shd w:val="clear" w:color="auto" w:fill="auto"/>
            <w:noWrap/>
            <w:vAlign w:val="center"/>
            <w:hideMark/>
          </w:tcPr>
          <w:p w:rsidR="00425322" w:rsidRPr="00747F87" w:rsidRDefault="00425322" w:rsidP="00393450">
            <w:pPr>
              <w:spacing w:before="120" w:after="120" w:line="240" w:lineRule="auto"/>
              <w:jc w:val="center"/>
              <w:rPr>
                <w:rFonts w:eastAsia="Times New Roman" w:cs="Calibri"/>
                <w:color w:val="000000"/>
                <w:lang w:eastAsia="hu-HU"/>
              </w:rPr>
            </w:pPr>
            <w:r w:rsidRPr="00747F87">
              <w:rPr>
                <w:rFonts w:eastAsia="Times New Roman" w:cs="Calibri"/>
                <w:color w:val="000000"/>
                <w:lang w:eastAsia="hu-HU"/>
              </w:rPr>
              <w:t>39,498</w:t>
            </w:r>
          </w:p>
        </w:tc>
      </w:tr>
      <w:tr w:rsidR="00425322" w:rsidRPr="00747F87" w:rsidTr="00393450">
        <w:trPr>
          <w:trHeight w:val="300"/>
          <w:jc w:val="center"/>
        </w:trPr>
        <w:tc>
          <w:tcPr>
            <w:tcW w:w="1418" w:type="dxa"/>
            <w:tcBorders>
              <w:top w:val="nil"/>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proofErr w:type="spellStart"/>
            <w:r w:rsidRPr="00747F87">
              <w:rPr>
                <w:rFonts w:eastAsia="Times New Roman" w:cs="Calibri"/>
                <w:color w:val="000000"/>
                <w:lang w:eastAsia="hu-HU"/>
              </w:rPr>
              <w:t>Bio</w:t>
            </w:r>
            <w:proofErr w:type="spellEnd"/>
            <w:r w:rsidRPr="00747F87">
              <w:rPr>
                <w:rFonts w:eastAsia="Times New Roman" w:cs="Calibri"/>
                <w:color w:val="000000"/>
                <w:lang w:eastAsia="hu-HU"/>
              </w:rPr>
              <w:t>-rektor</w:t>
            </w:r>
          </w:p>
        </w:tc>
        <w:tc>
          <w:tcPr>
            <w:tcW w:w="960" w:type="dxa"/>
            <w:tcBorders>
              <w:top w:val="nil"/>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víz</w:t>
            </w:r>
          </w:p>
        </w:tc>
        <w:tc>
          <w:tcPr>
            <w:tcW w:w="1420" w:type="dxa"/>
            <w:tcBorders>
              <w:top w:val="nil"/>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120</w:t>
            </w:r>
          </w:p>
        </w:tc>
        <w:tc>
          <w:tcPr>
            <w:tcW w:w="1447" w:type="dxa"/>
            <w:tcBorders>
              <w:top w:val="nil"/>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65</w:t>
            </w:r>
          </w:p>
        </w:tc>
        <w:tc>
          <w:tcPr>
            <w:tcW w:w="1320" w:type="dxa"/>
            <w:tcBorders>
              <w:top w:val="nil"/>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1</w:t>
            </w:r>
          </w:p>
        </w:tc>
        <w:tc>
          <w:tcPr>
            <w:tcW w:w="1540" w:type="dxa"/>
            <w:tcBorders>
              <w:top w:val="nil"/>
            </w:tcBorders>
            <w:shd w:val="clear" w:color="auto" w:fill="auto"/>
            <w:noWrap/>
            <w:vAlign w:val="center"/>
            <w:hideMark/>
          </w:tcPr>
          <w:p w:rsidR="00425322" w:rsidRPr="00747F87" w:rsidRDefault="00425322" w:rsidP="00393450">
            <w:pPr>
              <w:spacing w:after="0" w:line="240" w:lineRule="auto"/>
              <w:jc w:val="center"/>
              <w:rPr>
                <w:rFonts w:eastAsia="Times New Roman" w:cs="Calibri"/>
                <w:color w:val="000000"/>
                <w:lang w:eastAsia="hu-HU"/>
              </w:rPr>
            </w:pPr>
            <w:r w:rsidRPr="00747F87">
              <w:rPr>
                <w:rFonts w:eastAsia="Times New Roman" w:cs="Calibri"/>
                <w:color w:val="000000"/>
                <w:lang w:eastAsia="hu-HU"/>
              </w:rPr>
              <w:t>5,736</w:t>
            </w:r>
          </w:p>
        </w:tc>
      </w:tr>
    </w:tbl>
    <w:p w:rsidR="00425322" w:rsidRDefault="00425322" w:rsidP="00425322"/>
    <w:p w:rsidR="00425322" w:rsidRDefault="00425322" w:rsidP="004A40ED">
      <w:pPr>
        <w:pStyle w:val="Heading2"/>
      </w:pPr>
      <w:r>
        <w:t>ORC</w:t>
      </w:r>
    </w:p>
    <w:p w:rsidR="00425322" w:rsidRDefault="00425322" w:rsidP="00EC1EC7">
      <w:pPr>
        <w:jc w:val="both"/>
      </w:pPr>
      <w:r>
        <w:t>Az ORC-</w:t>
      </w:r>
      <w:proofErr w:type="spellStart"/>
      <w:r>
        <w:t>vel</w:t>
      </w:r>
      <w:proofErr w:type="spellEnd"/>
      <w:r>
        <w:t xml:space="preserve"> kialakított hulladékhő hasznosítás modellezése során négy különböző lehetőség került elemzésre. Vizsgáltuk, azt az esetet, melyben egy darab ORC hasznosítja az összes hulladékhőt sorosan kapcsolt hőcserélőkön keresztül. Ezen belül modelleztünk egy iparilag rendelkezésre álló </w:t>
      </w:r>
      <w:proofErr w:type="spellStart"/>
      <w:r>
        <w:t>rekuperatív</w:t>
      </w:r>
      <w:proofErr w:type="spellEnd"/>
      <w:r>
        <w:t xml:space="preserve"> hőcserélővel kialakított eljárást, továbbá egy, a turbina belső veszteségeit figyelembe vevő</w:t>
      </w:r>
      <w:r w:rsidR="00E706ED">
        <w:t>,</w:t>
      </w:r>
      <w:r>
        <w:t xml:space="preserve"> maximális tengelyteljesítményt leadni képes </w:t>
      </w:r>
      <w:proofErr w:type="gramStart"/>
      <w:r>
        <w:t>konstrukciót</w:t>
      </w:r>
      <w:proofErr w:type="gramEnd"/>
      <w:r>
        <w:t xml:space="preserve"> (az expanzió telített gőz állapotból indul és telített gőz állapotig tart). A másik vizsgált lehetőség pedig az, ahol a hulladékhő keletkezési helyén közvetlenül telepítünk ORC-</w:t>
      </w:r>
      <w:proofErr w:type="spellStart"/>
      <w:r>
        <w:t>ket</w:t>
      </w:r>
      <w:proofErr w:type="spellEnd"/>
      <w:r>
        <w:t xml:space="preserve">. Ebben az esetben kétszer két gép működését modelleztük, az előző esetben </w:t>
      </w:r>
      <w:r>
        <w:lastRenderedPageBreak/>
        <w:t xml:space="preserve">bemutatott </w:t>
      </w:r>
      <w:proofErr w:type="gramStart"/>
      <w:r>
        <w:t>konstrukciós</w:t>
      </w:r>
      <w:proofErr w:type="gramEnd"/>
      <w:r>
        <w:t xml:space="preserve"> lehetőségekhez hasonlóan – ipari </w:t>
      </w:r>
      <w:proofErr w:type="spellStart"/>
      <w:r>
        <w:t>rekuperatív</w:t>
      </w:r>
      <w:proofErr w:type="spellEnd"/>
      <w:r>
        <w:t xml:space="preserve"> hőcserélős és telített gőz állapotból telített gőz állapotba tartó expanziós</w:t>
      </w:r>
      <w:r w:rsidRPr="00B07993">
        <w:t xml:space="preserve"> </w:t>
      </w:r>
      <w:r>
        <w:t>megvalósítás. Az összes esetben az ORC munkaközeg kondenzációjához szükséges hűtőköz</w:t>
      </w:r>
      <w:r w:rsidR="002F71DA">
        <w:t>e</w:t>
      </w:r>
      <w:r>
        <w:t>get 20°C-os levegőnek tekintettük. A modellezést követően a kapott eredmények összehasonlításra kerültek.</w:t>
      </w:r>
    </w:p>
    <w:p w:rsidR="00425322" w:rsidRDefault="00425322" w:rsidP="004A40ED">
      <w:pPr>
        <w:pStyle w:val="Heading3"/>
      </w:pPr>
      <w:r>
        <w:t>Eset I</w:t>
      </w:r>
    </w:p>
    <w:p w:rsidR="00425322" w:rsidRDefault="00425322" w:rsidP="00697711">
      <w:pPr>
        <w:jc w:val="both"/>
      </w:pPr>
      <w:r>
        <w:t>Az összes keletkező hulladékhő hasznosítása egy darab ORC-</w:t>
      </w:r>
      <w:proofErr w:type="spellStart"/>
      <w:r>
        <w:t>ben</w:t>
      </w:r>
      <w:proofErr w:type="spellEnd"/>
      <w:r>
        <w:t xml:space="preserve"> valósult meg</w:t>
      </w:r>
      <w:r w:rsidRPr="002D7540">
        <w:t xml:space="preserve"> </w:t>
      </w:r>
      <w:r>
        <w:t xml:space="preserve">két sorba kapcsolt hőcserélőn keresztül. A modellekben az első hőcserélőben hasznosult az </w:t>
      </w:r>
      <w:proofErr w:type="spellStart"/>
      <w:r>
        <w:t>elektrolizálóban</w:t>
      </w:r>
      <w:proofErr w:type="spellEnd"/>
      <w:r>
        <w:t xml:space="preserve"> keletkező hő, míg a második hőcserélőben a </w:t>
      </w:r>
      <w:proofErr w:type="spellStart"/>
      <w:r>
        <w:t>bio</w:t>
      </w:r>
      <w:proofErr w:type="spellEnd"/>
      <w:r>
        <w:t>-rektorból származó hő felhasználása történt</w:t>
      </w:r>
      <w:r w:rsidR="00697711">
        <w:t>.</w:t>
      </w:r>
      <w:r>
        <w:t xml:space="preserve"> </w:t>
      </w:r>
    </w:p>
    <w:p w:rsidR="00425322" w:rsidRDefault="00425322" w:rsidP="005806B1">
      <w:pPr>
        <w:pStyle w:val="ListParagraph"/>
        <w:numPr>
          <w:ilvl w:val="0"/>
          <w:numId w:val="2"/>
        </w:numPr>
        <w:spacing w:after="240"/>
        <w:jc w:val="both"/>
      </w:pPr>
      <w:r>
        <w:t>I/</w:t>
      </w:r>
      <w:proofErr w:type="gramStart"/>
      <w:r>
        <w:t>a</w:t>
      </w:r>
      <w:proofErr w:type="gramEnd"/>
      <w:r>
        <w:t xml:space="preserve"> eset: </w:t>
      </w:r>
      <w:r w:rsidRPr="0048444B">
        <w:t xml:space="preserve">Az ORC modellezése ipari konstrukció alapján valósult meg, melynek alapjául az </w:t>
      </w:r>
      <w:proofErr w:type="spellStart"/>
      <w:r w:rsidRPr="0048444B">
        <w:t>Electratherm</w:t>
      </w:r>
      <w:proofErr w:type="spellEnd"/>
      <w:r w:rsidRPr="0048444B">
        <w:t xml:space="preserve"> által forgalmazott, az adott hőmérsékleti határok között működő berendezés szolgált. </w:t>
      </w:r>
      <w:proofErr w:type="gramStart"/>
      <w:r w:rsidRPr="0048444B">
        <w:t xml:space="preserve">A rendszerről található információk alapján az alkalmazott munkaközeg ebben az esetben R245fa </w:t>
      </w:r>
      <w:r w:rsidR="005806B1">
        <w:t>(</w:t>
      </w:r>
      <w:proofErr w:type="spellStart"/>
      <w:r w:rsidR="005806B1" w:rsidRPr="005806B1">
        <w:t>ElectraTherm</w:t>
      </w:r>
      <w:proofErr w:type="spellEnd"/>
      <w:r w:rsidR="005806B1" w:rsidRPr="005806B1">
        <w:t xml:space="preserve"> Inc.</w:t>
      </w:r>
      <w:r w:rsidR="005806B1">
        <w:t>)</w:t>
      </w:r>
      <w:r w:rsidRPr="0048444B">
        <w:t>,</w:t>
      </w:r>
      <w:r>
        <w:t xml:space="preserve"> az expander pedig iker-csavar expander, melynek irodalmi adatok alapján</w:t>
      </w:r>
      <w:proofErr w:type="gramEnd"/>
      <w:r>
        <w:t xml:space="preserve"> </w:t>
      </w:r>
      <w:r w:rsidR="00043EC3">
        <w:fldChar w:fldCharType="begin" w:fldLock="1"/>
      </w:r>
      <w:r w:rsidR="009974CC">
        <w:instrText>ADDIN CSL_CITATION {"citationItems":[{"id":"ITEM-1","itemData":{"DOI":"10.1016/j.enconman.2019.111944","ISSN":"01968904","abstract":"Studies and applications of organic Rankine cycle (ORC) systems are increasing in recent years because of the advantages of them on the recovery of low temperature heat sources. The choice of working fluids, system design methods, equipment, and applications of ORC systems were researched by many researchers. Expansion devices are the key equipment for ORC systems. The review of expansion devices for ORC systems was presented in this paper. The devices of scroll, screw, piston, vane, turbine, and ejector for ORC systems are involved. It is expected that the review presented here can summarize what was done before and will provide the investigator with the knowledge and ideas about how to choose and improve the performance of expansion devices for ORC systems.","author":[{"dropping-particle":"","family":"Zhao","given":"Yuanyang","non-dropping-particle":"","parse-names":false,"suffix":""},{"dropping-particle":"","family":"Liu","given":"Guangbin","non-dropping-particle":"","parse-names":false,"suffix":""},{"dropping-particle":"","family":"Li","given":"Liansheng","non-dropping-particle":"","parse-names":false,"suffix":""},{"dropping-particle":"","family":"Yang","given":"Qichao","non-dropping-particle":"","parse-names":false,"suffix":""},{"dropping-particle":"","family":"Tang","given":"Bin","non-dropping-particle":"","parse-names":false,"suffix":""},{"dropping-particle":"","family":"Liu","given":"Yunxia","non-dropping-particle":"","parse-names":false,"suffix":""}],"container-title":"Energy Conversion and Management","id":"ITEM-1","issue":"August","issued":{"date-parts":[["2019"]]},"page":"111944","publisher":"Elsevier","title":"Expansion devices for organic Rankine cycle (ORC) using in low temperature heat recovery: A review","type":"article-journal","volume":"199"},"uris":["http://www.mendeley.com/documents/?uuid=5a1fcb6b-4ded-49f6-9bd9-3df57880810f"]}],"mendeley":{"formattedCitation":"[40]","plainTextFormattedCitation":"[40]","previouslyFormattedCitation":"[39]"},"properties":{"noteIndex":0},"schema":"https://github.com/citation-style-language/schema/raw/master/csl-citation.json"}</w:instrText>
      </w:r>
      <w:r w:rsidR="00043EC3">
        <w:fldChar w:fldCharType="separate"/>
      </w:r>
      <w:r w:rsidR="009974CC" w:rsidRPr="009974CC">
        <w:rPr>
          <w:noProof/>
        </w:rPr>
        <w:t>[40]</w:t>
      </w:r>
      <w:r w:rsidR="00043EC3">
        <w:fldChar w:fldCharType="end"/>
      </w:r>
      <w:r w:rsidR="005806B1">
        <w:t xml:space="preserve"> </w:t>
      </w:r>
      <w:r>
        <w:t>felvett belső hatásfok 72%. A vizsgált modell kapcsolása a</w:t>
      </w:r>
      <w:r w:rsidR="000F3716">
        <w:t>z</w:t>
      </w:r>
      <w:r>
        <w:t xml:space="preserve"> </w:t>
      </w:r>
      <w:r w:rsidR="00043EC3" w:rsidRPr="00043EC3">
        <w:fldChar w:fldCharType="begin"/>
      </w:r>
      <w:r w:rsidR="00043EC3" w:rsidRPr="00043EC3">
        <w:instrText xml:space="preserve"> REF _Ref92198613 \h  \* MERGEFORMAT </w:instrText>
      </w:r>
      <w:r w:rsidR="00043EC3" w:rsidRPr="00043EC3">
        <w:fldChar w:fldCharType="separate"/>
      </w:r>
      <w:r w:rsidR="00043EC3" w:rsidRPr="00043EC3">
        <w:rPr>
          <w:noProof/>
        </w:rPr>
        <w:t>5</w:t>
      </w:r>
      <w:r w:rsidR="00043EC3" w:rsidRPr="00043EC3">
        <w:t>. ábra</w:t>
      </w:r>
      <w:r w:rsidR="00043EC3" w:rsidRPr="00043EC3">
        <w:fldChar w:fldCharType="end"/>
      </w:r>
      <w:r w:rsidR="00043EC3">
        <w:t xml:space="preserve"> </w:t>
      </w:r>
      <w:r>
        <w:t xml:space="preserve">bal, a folyamat </w:t>
      </w:r>
      <w:r w:rsidRPr="005B197C">
        <w:rPr>
          <w:i/>
        </w:rPr>
        <w:t>T-s</w:t>
      </w:r>
      <w:r>
        <w:t xml:space="preserve"> diagramja pedig a jobb oldalán található.</w:t>
      </w:r>
    </w:p>
    <w:p w:rsidR="00425322" w:rsidRDefault="00425322" w:rsidP="00425322">
      <w:pPr>
        <w:pStyle w:val="ListParagraph"/>
        <w:spacing w:after="240"/>
        <w:ind w:left="425"/>
      </w:pPr>
    </w:p>
    <w:p w:rsidR="00425322" w:rsidRDefault="00425322" w:rsidP="00425322">
      <w:pPr>
        <w:pStyle w:val="ListParagraph"/>
        <w:keepNext/>
        <w:spacing w:before="120"/>
        <w:ind w:left="0"/>
      </w:pPr>
      <w:r w:rsidRPr="00246A58">
        <w:rPr>
          <w:noProof/>
          <w:lang w:val="en-US"/>
        </w:rPr>
        <w:drawing>
          <wp:inline distT="0" distB="0" distL="0" distR="0" wp14:anchorId="5D7F394F" wp14:editId="74C673D9">
            <wp:extent cx="2844000" cy="3193036"/>
            <wp:effectExtent l="0" t="0" r="0" b="7620"/>
            <wp:docPr id="2"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ép 8"/>
                    <pic:cNvPicPr>
                      <a:picLocks noChangeAspect="1"/>
                    </pic:cNvPicPr>
                  </pic:nvPicPr>
                  <pic:blipFill>
                    <a:blip r:embed="rId17"/>
                    <a:stretch>
                      <a:fillRect/>
                    </a:stretch>
                  </pic:blipFill>
                  <pic:spPr>
                    <a:xfrm>
                      <a:off x="0" y="0"/>
                      <a:ext cx="2844000" cy="3193036"/>
                    </a:xfrm>
                    <a:prstGeom prst="rect">
                      <a:avLst/>
                    </a:prstGeom>
                  </pic:spPr>
                </pic:pic>
              </a:graphicData>
            </a:graphic>
          </wp:inline>
        </w:drawing>
      </w:r>
      <w:r w:rsidRPr="00246A58">
        <w:rPr>
          <w:noProof/>
          <w:lang w:val="en-US"/>
        </w:rPr>
        <w:drawing>
          <wp:inline distT="0" distB="0" distL="0" distR="0" wp14:anchorId="7C57381A" wp14:editId="3910296B">
            <wp:extent cx="2843530" cy="3213100"/>
            <wp:effectExtent l="0" t="0" r="13970" b="6350"/>
            <wp:docPr id="4"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Start w:id="5" w:name="_Ref92198613"/>
    <w:p w:rsidR="00425322" w:rsidRDefault="00425322" w:rsidP="00425322">
      <w:pPr>
        <w:pStyle w:val="Caption"/>
        <w:jc w:val="center"/>
      </w:pPr>
      <w:r w:rsidRPr="00043EC3">
        <w:fldChar w:fldCharType="begin"/>
      </w:r>
      <w:r w:rsidRPr="00043EC3">
        <w:instrText xml:space="preserve"> SEQ ábra \* ARABIC </w:instrText>
      </w:r>
      <w:r w:rsidRPr="00043EC3">
        <w:fldChar w:fldCharType="separate"/>
      </w:r>
      <w:r w:rsidR="001574C9" w:rsidRPr="00043EC3">
        <w:rPr>
          <w:noProof/>
        </w:rPr>
        <w:t>5</w:t>
      </w:r>
      <w:r w:rsidRPr="00043EC3">
        <w:fldChar w:fldCharType="end"/>
      </w:r>
      <w:r w:rsidRPr="00043EC3">
        <w:t>. ábra</w:t>
      </w:r>
      <w:bookmarkEnd w:id="5"/>
      <w:r w:rsidRPr="00043EC3">
        <w:t xml:space="preserve"> Balra: hulladékhő</w:t>
      </w:r>
      <w:r>
        <w:t xml:space="preserve"> hasznosítás modellezése egy ORC-</w:t>
      </w:r>
      <w:proofErr w:type="spellStart"/>
      <w:r>
        <w:t>ben</w:t>
      </w:r>
      <w:proofErr w:type="spellEnd"/>
      <w:r>
        <w:t xml:space="preserve"> ipari </w:t>
      </w:r>
      <w:proofErr w:type="gramStart"/>
      <w:r>
        <w:t>konstrukció</w:t>
      </w:r>
      <w:proofErr w:type="gramEnd"/>
      <w:r>
        <w:t xml:space="preserve"> mellett; </w:t>
      </w:r>
      <w:r w:rsidR="000F3716">
        <w:br/>
      </w:r>
      <w:r>
        <w:t>Jobbra: R245fa T-s diagramjában felvett folyamat</w:t>
      </w:r>
    </w:p>
    <w:p w:rsidR="00425322" w:rsidRDefault="00425322" w:rsidP="000F3716">
      <w:pPr>
        <w:jc w:val="both"/>
      </w:pPr>
      <w:r>
        <w:t>A hőcserélőkben hasznosult hőmennyiség, a hulladékhőhasznosítás mértéke, a körfolyamat hatásfoka</w:t>
      </w:r>
      <w:r w:rsidR="000F3716">
        <w:t>,</w:t>
      </w:r>
      <w:r>
        <w:t xml:space="preserve"> </w:t>
      </w:r>
      <w:r w:rsidR="000F3716">
        <w:t>valamint</w:t>
      </w:r>
      <w:r>
        <w:t xml:space="preserve"> a leadott teljesítmény</w:t>
      </w:r>
      <w:r w:rsidR="000F3716">
        <w:t xml:space="preserve"> </w:t>
      </w:r>
      <w:r w:rsidR="000F3716" w:rsidRPr="00574E5D">
        <w:t>a</w:t>
      </w:r>
      <w:r w:rsidRPr="00574E5D">
        <w:t xml:space="preserve"> 2. táblázatban található</w:t>
      </w:r>
      <w:r>
        <w:t>.</w:t>
      </w:r>
    </w:p>
    <w:p w:rsidR="00425322" w:rsidRDefault="00425322" w:rsidP="00425322">
      <w:pPr>
        <w:pStyle w:val="Caption"/>
        <w:keepNext/>
        <w:spacing w:after="120"/>
        <w:jc w:val="center"/>
      </w:pPr>
      <w:r w:rsidRPr="00574E5D">
        <w:fldChar w:fldCharType="begin"/>
      </w:r>
      <w:r w:rsidRPr="00574E5D">
        <w:instrText xml:space="preserve"> SEQ táblázat \* ARABIC </w:instrText>
      </w:r>
      <w:r w:rsidRPr="00574E5D">
        <w:fldChar w:fldCharType="separate"/>
      </w:r>
      <w:r w:rsidR="00574E5D" w:rsidRPr="00574E5D">
        <w:rPr>
          <w:noProof/>
        </w:rPr>
        <w:t>2</w:t>
      </w:r>
      <w:r w:rsidRPr="00574E5D">
        <w:fldChar w:fldCharType="end"/>
      </w:r>
      <w:r w:rsidRPr="00574E5D">
        <w:t>. táblázat Ipari</w:t>
      </w:r>
      <w:r>
        <w:t xml:space="preserve"> </w:t>
      </w:r>
      <w:proofErr w:type="gramStart"/>
      <w:r>
        <w:t>konstrukció</w:t>
      </w:r>
      <w:proofErr w:type="gramEnd"/>
      <w:r>
        <w:t xml:space="preserve"> mellett kialakított ORC </w:t>
      </w:r>
      <w:r w:rsidR="000F3716">
        <w:t>energetikai mutatói</w:t>
      </w:r>
    </w:p>
    <w:tbl>
      <w:tblPr>
        <w:tblW w:w="38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941"/>
        <w:gridCol w:w="901"/>
        <w:gridCol w:w="1079"/>
        <w:gridCol w:w="919"/>
      </w:tblGrid>
      <w:tr w:rsidR="00425322" w:rsidRPr="00246A58" w:rsidTr="00393450">
        <w:trPr>
          <w:trHeight w:val="238"/>
          <w:jc w:val="center"/>
        </w:trPr>
        <w:tc>
          <w:tcPr>
            <w:tcW w:w="941" w:type="dxa"/>
            <w:shd w:val="clear" w:color="auto" w:fill="auto"/>
            <w:tcMar>
              <w:top w:w="15" w:type="dxa"/>
              <w:left w:w="15" w:type="dxa"/>
              <w:bottom w:w="0" w:type="dxa"/>
              <w:right w:w="15" w:type="dxa"/>
            </w:tcMar>
            <w:vAlign w:val="center"/>
            <w:hideMark/>
          </w:tcPr>
          <w:p w:rsidR="00425322" w:rsidRPr="00246A58" w:rsidRDefault="00425322" w:rsidP="00393450">
            <w:pPr>
              <w:spacing w:after="0"/>
            </w:pPr>
          </w:p>
        </w:tc>
        <w:tc>
          <w:tcPr>
            <w:tcW w:w="901"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Q, kW</w:t>
            </w:r>
          </w:p>
        </w:tc>
        <w:tc>
          <w:tcPr>
            <w:tcW w:w="1079" w:type="dxa"/>
            <w:shd w:val="clear" w:color="auto" w:fill="auto"/>
            <w:tcMar>
              <w:top w:w="15" w:type="dxa"/>
              <w:left w:w="15" w:type="dxa"/>
              <w:bottom w:w="0" w:type="dxa"/>
              <w:right w:w="15" w:type="dxa"/>
            </w:tcMar>
            <w:vAlign w:val="center"/>
            <w:hideMark/>
          </w:tcPr>
          <w:p w:rsidR="00425322" w:rsidRPr="00246A58" w:rsidRDefault="00425322" w:rsidP="00393450">
            <w:pPr>
              <w:spacing w:after="0"/>
            </w:pPr>
          </w:p>
        </w:tc>
        <w:tc>
          <w:tcPr>
            <w:tcW w:w="919"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P, kW</w:t>
            </w:r>
          </w:p>
        </w:tc>
      </w:tr>
      <w:tr w:rsidR="00425322" w:rsidRPr="00246A58" w:rsidTr="00393450">
        <w:trPr>
          <w:trHeight w:val="274"/>
          <w:jc w:val="center"/>
        </w:trPr>
        <w:tc>
          <w:tcPr>
            <w:tcW w:w="941"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HTX1</w:t>
            </w:r>
          </w:p>
        </w:tc>
        <w:tc>
          <w:tcPr>
            <w:tcW w:w="901"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199,15</w:t>
            </w:r>
          </w:p>
        </w:tc>
        <w:tc>
          <w:tcPr>
            <w:tcW w:w="1079"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T11</w:t>
            </w:r>
          </w:p>
        </w:tc>
        <w:tc>
          <w:tcPr>
            <w:tcW w:w="919"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17,31</w:t>
            </w:r>
          </w:p>
        </w:tc>
      </w:tr>
      <w:tr w:rsidR="00425322" w:rsidRPr="00246A58" w:rsidTr="00393450">
        <w:trPr>
          <w:trHeight w:val="300"/>
          <w:jc w:val="center"/>
        </w:trPr>
        <w:tc>
          <w:tcPr>
            <w:tcW w:w="941"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HTX2</w:t>
            </w:r>
          </w:p>
        </w:tc>
        <w:tc>
          <w:tcPr>
            <w:tcW w:w="901"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38,63</w:t>
            </w:r>
          </w:p>
        </w:tc>
        <w:tc>
          <w:tcPr>
            <w:tcW w:w="1079"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P10</w:t>
            </w:r>
          </w:p>
        </w:tc>
        <w:tc>
          <w:tcPr>
            <w:tcW w:w="919"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-0,33</w:t>
            </w:r>
          </w:p>
        </w:tc>
      </w:tr>
      <w:tr w:rsidR="00425322" w:rsidRPr="00246A58" w:rsidTr="00393450">
        <w:trPr>
          <w:trHeight w:val="300"/>
          <w:jc w:val="center"/>
        </w:trPr>
        <w:tc>
          <w:tcPr>
            <w:tcW w:w="941"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lastRenderedPageBreak/>
              <w:t>Q</w:t>
            </w:r>
          </w:p>
        </w:tc>
        <w:tc>
          <w:tcPr>
            <w:tcW w:w="901"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237,78</w:t>
            </w:r>
          </w:p>
        </w:tc>
        <w:tc>
          <w:tcPr>
            <w:tcW w:w="1079" w:type="dxa"/>
            <w:shd w:val="clear" w:color="auto" w:fill="auto"/>
            <w:tcMar>
              <w:top w:w="15" w:type="dxa"/>
              <w:left w:w="15" w:type="dxa"/>
              <w:bottom w:w="0" w:type="dxa"/>
              <w:right w:w="15" w:type="dxa"/>
            </w:tcMar>
            <w:vAlign w:val="bottom"/>
            <w:hideMark/>
          </w:tcPr>
          <w:p w:rsidR="00425322" w:rsidRPr="00246A58" w:rsidRDefault="00425322" w:rsidP="00393450">
            <w:pPr>
              <w:spacing w:after="0"/>
            </w:pPr>
            <w:r w:rsidRPr="00246A58">
              <w:t>Q/</w:t>
            </w:r>
            <w:proofErr w:type="spellStart"/>
            <w:r w:rsidRPr="00246A58">
              <w:t>Q</w:t>
            </w:r>
            <w:r w:rsidRPr="000F3716">
              <w:rPr>
                <w:vertAlign w:val="subscript"/>
              </w:rPr>
              <w:t>hossz</w:t>
            </w:r>
            <w:proofErr w:type="spellEnd"/>
          </w:p>
        </w:tc>
        <w:tc>
          <w:tcPr>
            <w:tcW w:w="919"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74,30%</w:t>
            </w:r>
          </w:p>
        </w:tc>
      </w:tr>
      <w:tr w:rsidR="00425322" w:rsidRPr="00246A58" w:rsidTr="00393450">
        <w:trPr>
          <w:trHeight w:val="300"/>
          <w:jc w:val="center"/>
        </w:trPr>
        <w:tc>
          <w:tcPr>
            <w:tcW w:w="941" w:type="dxa"/>
            <w:shd w:val="clear" w:color="auto" w:fill="auto"/>
            <w:tcMar>
              <w:top w:w="15" w:type="dxa"/>
              <w:left w:w="15" w:type="dxa"/>
              <w:bottom w:w="0" w:type="dxa"/>
              <w:right w:w="15" w:type="dxa"/>
            </w:tcMar>
            <w:vAlign w:val="center"/>
            <w:hideMark/>
          </w:tcPr>
          <w:p w:rsidR="00425322" w:rsidRPr="00246A58" w:rsidRDefault="00425322" w:rsidP="00393450">
            <w:pPr>
              <w:spacing w:after="0"/>
            </w:pPr>
            <w:proofErr w:type="spellStart"/>
            <w:r>
              <w:t>Q</w:t>
            </w:r>
            <w:r w:rsidRPr="000F3716">
              <w:rPr>
                <w:vertAlign w:val="subscript"/>
              </w:rPr>
              <w:t>hossz</w:t>
            </w:r>
            <w:proofErr w:type="spellEnd"/>
          </w:p>
        </w:tc>
        <w:tc>
          <w:tcPr>
            <w:tcW w:w="901"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320,00</w:t>
            </w:r>
          </w:p>
        </w:tc>
        <w:tc>
          <w:tcPr>
            <w:tcW w:w="1079" w:type="dxa"/>
            <w:shd w:val="clear" w:color="auto" w:fill="auto"/>
            <w:tcMar>
              <w:top w:w="15" w:type="dxa"/>
              <w:left w:w="15" w:type="dxa"/>
              <w:bottom w:w="0" w:type="dxa"/>
              <w:right w:w="15" w:type="dxa"/>
            </w:tcMar>
            <w:vAlign w:val="center"/>
            <w:hideMark/>
          </w:tcPr>
          <w:p w:rsidR="00425322" w:rsidRPr="000F3716" w:rsidRDefault="000F3716" w:rsidP="0030043B">
            <w:pPr>
              <w:spacing w:after="0"/>
              <w:rPr>
                <w:rFonts w:ascii="Symbol" w:hAnsi="Symbol"/>
              </w:rPr>
            </w:pPr>
            <w:r w:rsidRPr="000F3716">
              <w:rPr>
                <w:rFonts w:ascii="Symbol" w:hAnsi="Symbol"/>
              </w:rPr>
              <w:t></w:t>
            </w:r>
            <w:r w:rsidR="0030043B" w:rsidRPr="0030043B">
              <w:rPr>
                <w:rFonts w:ascii="Times New Roman" w:hAnsi="Times New Roman" w:cs="Times New Roman"/>
                <w:vertAlign w:val="subscript"/>
              </w:rPr>
              <w:t>ORC</w:t>
            </w:r>
          </w:p>
        </w:tc>
        <w:tc>
          <w:tcPr>
            <w:tcW w:w="919" w:type="dxa"/>
            <w:shd w:val="clear" w:color="auto" w:fill="auto"/>
            <w:tcMar>
              <w:top w:w="15" w:type="dxa"/>
              <w:left w:w="15" w:type="dxa"/>
              <w:bottom w:w="0" w:type="dxa"/>
              <w:right w:w="15" w:type="dxa"/>
            </w:tcMar>
            <w:vAlign w:val="center"/>
            <w:hideMark/>
          </w:tcPr>
          <w:p w:rsidR="00425322" w:rsidRPr="00246A58" w:rsidRDefault="00425322" w:rsidP="00393450">
            <w:pPr>
              <w:spacing w:after="0"/>
            </w:pPr>
            <w:r w:rsidRPr="00246A58">
              <w:t>7,14%</w:t>
            </w:r>
          </w:p>
        </w:tc>
      </w:tr>
    </w:tbl>
    <w:p w:rsidR="00425322" w:rsidRPr="00A85284" w:rsidRDefault="00425322" w:rsidP="000F3716">
      <w:pPr>
        <w:spacing w:before="120"/>
        <w:jc w:val="both"/>
      </w:pPr>
      <w:r>
        <w:t>A rendszer leadott teljesítménye 7,14%-</w:t>
      </w:r>
      <w:proofErr w:type="spellStart"/>
      <w:r>
        <w:t>os</w:t>
      </w:r>
      <w:proofErr w:type="spellEnd"/>
      <w:r>
        <w:t xml:space="preserve"> körfolyamati hatásfok mellett 16,98 kW, mellyel a </w:t>
      </w:r>
      <w:proofErr w:type="spellStart"/>
      <w:r>
        <w:t>bio</w:t>
      </w:r>
      <w:proofErr w:type="spellEnd"/>
      <w:r>
        <w:t>-met</w:t>
      </w:r>
      <w:r w:rsidR="009200E9">
        <w:t>án</w:t>
      </w:r>
      <w:r>
        <w:t xml:space="preserve"> előállítási folyamat hatásfoka 1,65 százalékponttal növelhető.</w:t>
      </w:r>
    </w:p>
    <w:p w:rsidR="00425322" w:rsidRPr="00855BFC" w:rsidRDefault="00425322" w:rsidP="00425322">
      <w:pPr>
        <w:pStyle w:val="ListParagraph"/>
        <w:numPr>
          <w:ilvl w:val="0"/>
          <w:numId w:val="2"/>
        </w:numPr>
        <w:spacing w:after="0"/>
        <w:ind w:left="68"/>
        <w:jc w:val="both"/>
      </w:pPr>
      <w:r>
        <w:t>I/b eset: A rendszer modellezése során ebben az esetben is 72%-</w:t>
      </w:r>
      <w:proofErr w:type="spellStart"/>
      <w:r>
        <w:t>nak</w:t>
      </w:r>
      <w:proofErr w:type="spellEnd"/>
      <w:r>
        <w:t xml:space="preserve"> tekintettük az expander belső hatásfokát. Ezt figyelembe véve került kiválasztásra a munkaközeg, melynek alkalmazásával maximális tengelyteljesítmény adódik az adott hőmérsékletpáron – adott hőforrás (70°C) és hőnyelő (20°C) hőmérséklet mellett – és nincs szükség </w:t>
      </w:r>
      <w:r w:rsidR="0030043B">
        <w:t xml:space="preserve">se túlhevítő, se </w:t>
      </w:r>
      <w:proofErr w:type="spellStart"/>
      <w:r>
        <w:t>rekuperatív</w:t>
      </w:r>
      <w:proofErr w:type="spellEnd"/>
      <w:r>
        <w:t xml:space="preserve"> hőcserélő alkalmazására. A munkaközeg, melyet a modellezés során alkalmaztunk és teljesíti a kívánt feltételeket az R134a. </w:t>
      </w:r>
      <w:proofErr w:type="gramStart"/>
      <w:r>
        <w:t>Az optimális munkaközeg választási módszerrel kapcsolatos részletes eredmények megtalálhatóak a</w:t>
      </w:r>
      <w:proofErr w:type="gramEnd"/>
      <w:r w:rsidR="0030043B">
        <w:t xml:space="preserve"> </w:t>
      </w:r>
      <w:r w:rsidR="00855BFC">
        <w:fldChar w:fldCharType="begin" w:fldLock="1"/>
      </w:r>
      <w:r w:rsidR="009974CC">
        <w:instrText>ADDIN CSL_CITATION {"citationItems":[{"id":"ITEM-1","itemData":{"DOI":"10.18462/iir.rankine.2020.1170","ISBN":"9782362150388","ISSN":"01511637","abstract":"The final state of the expansion process has a crucial effect on the ORC design. If it ends in the dry vapour region, it requires isobar cooling for reaching the saturated vapour state, leading to smaller efficiency and higher investment and operating costs due to the extra recuperative heat exchanger. If however, the expansion terminates in the two-phase, wet region, the droplets may cause erosion problems, and they may decrease the net efficiency due to moisture loss. Hence it is essential to design an expansion, where the process's initial and final states are both saturated states while all intermediate states are in the dry or slightly wet region. Therefore a method is proposed to determine the optimal working fluid for a real expander (characterized by isentropic efficiency) for a given heat source and heat sink with the simplest ORC layout.","author":[{"dropping-particle":"","family":"Kustán","given":"Réka","non-dropping-particle":"","parse-names":false,"suffix":""},{"dropping-particle":"","family":"Imre","given":"Attila R.","non-dropping-particle":"","parse-names":false,"suffix":""},{"dropping-particle":"","family":"Groniewsky","given":"Axel","non-dropping-particle":"","parse-names":false,"suffix":""}],"container-title":"IIR International Rankine 2020 Conference -Heating, Cooling and Power Generation - Refrigeration Science and Technology","id":"ITEM-1","issue":"July","issued":{"date-parts":[["2020"]]},"page":"351-357","title":"The effect of internal efficiency of expander on the working fluid selection","type":"paper-conference","volume":"2020-July"},"uris":["http://www.mendeley.com/documents/?uuid=ca41350f-0b42-4726-a821-ab5bfb75f444"]}],"mendeley":{"formattedCitation":"[37]","plainTextFormattedCitation":"[37]","previouslyFormattedCitation":"[36]"},"properties":{"noteIndex":0},"schema":"https://github.com/citation-style-language/schema/raw/master/csl-citation.json"}</w:instrText>
      </w:r>
      <w:r w:rsidR="00855BFC">
        <w:fldChar w:fldCharType="separate"/>
      </w:r>
      <w:r w:rsidR="009974CC" w:rsidRPr="009974CC">
        <w:rPr>
          <w:noProof/>
        </w:rPr>
        <w:t>[37]</w:t>
      </w:r>
      <w:r w:rsidR="00855BFC">
        <w:fldChar w:fldCharType="end"/>
      </w:r>
      <w:r w:rsidR="00855BFC">
        <w:t xml:space="preserve"> </w:t>
      </w:r>
      <w:r w:rsidR="00855BFC" w:rsidRPr="00855BFC">
        <w:t>forrásban</w:t>
      </w:r>
      <w:r w:rsidRPr="00855BFC">
        <w:t xml:space="preserve">. A </w:t>
      </w:r>
      <w:r w:rsidR="00855BFC" w:rsidRPr="00855BFC">
        <w:fldChar w:fldCharType="begin"/>
      </w:r>
      <w:r w:rsidR="00855BFC" w:rsidRPr="00855BFC">
        <w:instrText xml:space="preserve"> REF _Ref92201960 \h </w:instrText>
      </w:r>
      <w:r w:rsidR="00855BFC">
        <w:instrText xml:space="preserve"> \* MERGEFORMAT </w:instrText>
      </w:r>
      <w:r w:rsidR="00855BFC" w:rsidRPr="00855BFC">
        <w:fldChar w:fldCharType="separate"/>
      </w:r>
      <w:r w:rsidR="00855BFC" w:rsidRPr="00855BFC">
        <w:rPr>
          <w:noProof/>
        </w:rPr>
        <w:t>6</w:t>
      </w:r>
      <w:r w:rsidR="00855BFC" w:rsidRPr="00855BFC">
        <w:t>. ábra</w:t>
      </w:r>
      <w:r w:rsidR="00855BFC" w:rsidRPr="00855BFC">
        <w:fldChar w:fldCharType="end"/>
      </w:r>
      <w:r w:rsidRPr="00855BFC">
        <w:t xml:space="preserve"> bal oldalán a vizsgált kapcsolás, jobb oldalán pedig a folyamat látható </w:t>
      </w:r>
      <w:r w:rsidRPr="00855BFC">
        <w:rPr>
          <w:i/>
        </w:rPr>
        <w:t>T-s</w:t>
      </w:r>
      <w:r w:rsidRPr="00855BFC">
        <w:t xml:space="preserve"> diagramban. </w:t>
      </w:r>
    </w:p>
    <w:p w:rsidR="0030043B" w:rsidRDefault="00425322" w:rsidP="00425322">
      <w:pPr>
        <w:pStyle w:val="Caption"/>
        <w:jc w:val="center"/>
      </w:pPr>
      <w:r w:rsidRPr="0074385B">
        <w:rPr>
          <w:noProof/>
          <w:lang w:val="en-US"/>
        </w:rPr>
        <w:drawing>
          <wp:inline distT="0" distB="0" distL="0" distR="0" wp14:anchorId="3C11BDF8" wp14:editId="0FB1B39B">
            <wp:extent cx="2844000" cy="2417400"/>
            <wp:effectExtent l="0" t="0" r="0" b="2540"/>
            <wp:docPr id="6"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pic:cNvPicPr>
                      <a:picLocks noChangeAspect="1"/>
                    </pic:cNvPicPr>
                  </pic:nvPicPr>
                  <pic:blipFill>
                    <a:blip r:embed="rId19"/>
                    <a:stretch>
                      <a:fillRect/>
                    </a:stretch>
                  </pic:blipFill>
                  <pic:spPr>
                    <a:xfrm>
                      <a:off x="0" y="0"/>
                      <a:ext cx="2844000" cy="2417400"/>
                    </a:xfrm>
                    <a:prstGeom prst="rect">
                      <a:avLst/>
                    </a:prstGeom>
                  </pic:spPr>
                </pic:pic>
              </a:graphicData>
            </a:graphic>
          </wp:inline>
        </w:drawing>
      </w:r>
      <w:r w:rsidRPr="0074385B">
        <w:t xml:space="preserve"> </w:t>
      </w:r>
      <w:r w:rsidRPr="0074385B">
        <w:rPr>
          <w:noProof/>
          <w:lang w:val="en-US"/>
        </w:rPr>
        <w:drawing>
          <wp:inline distT="0" distB="0" distL="0" distR="0" wp14:anchorId="2F43F2FD" wp14:editId="5CCD97CB">
            <wp:extent cx="2844000" cy="2477135"/>
            <wp:effectExtent l="0" t="0" r="0" b="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Start w:id="6" w:name="_Ref92201960"/>
    <w:p w:rsidR="00425322" w:rsidRDefault="00425322" w:rsidP="00425322">
      <w:pPr>
        <w:pStyle w:val="Caption"/>
        <w:jc w:val="center"/>
      </w:pPr>
      <w:r w:rsidRPr="00855BFC">
        <w:fldChar w:fldCharType="begin"/>
      </w:r>
      <w:r w:rsidRPr="00855BFC">
        <w:instrText xml:space="preserve"> SEQ ábra \* ARABIC </w:instrText>
      </w:r>
      <w:r w:rsidRPr="00855BFC">
        <w:fldChar w:fldCharType="separate"/>
      </w:r>
      <w:r w:rsidR="0030043B" w:rsidRPr="00855BFC">
        <w:rPr>
          <w:noProof/>
        </w:rPr>
        <w:t>6</w:t>
      </w:r>
      <w:r w:rsidRPr="00855BFC">
        <w:fldChar w:fldCharType="end"/>
      </w:r>
      <w:r w:rsidRPr="00855BFC">
        <w:t>. ábra</w:t>
      </w:r>
      <w:bookmarkEnd w:id="6"/>
      <w:r w:rsidRPr="00855BFC">
        <w:t xml:space="preserve"> Balra: hulladékhő</w:t>
      </w:r>
      <w:r w:rsidRPr="0074385B">
        <w:t xml:space="preserve"> hasznosítás modellezése egy ORC-</w:t>
      </w:r>
      <w:proofErr w:type="spellStart"/>
      <w:r w:rsidRPr="0074385B">
        <w:t>ben</w:t>
      </w:r>
      <w:proofErr w:type="spellEnd"/>
      <w:r w:rsidRPr="0074385B">
        <w:t xml:space="preserve"> optimális munkaközeg alkalmazásával; </w:t>
      </w:r>
      <w:r w:rsidR="00855BFC">
        <w:br/>
      </w:r>
      <w:r w:rsidRPr="0074385B">
        <w:t>Jobbra: R134</w:t>
      </w:r>
      <w:r>
        <w:t xml:space="preserve">a T-s diagramjában felvett folyamat </w:t>
      </w:r>
    </w:p>
    <w:p w:rsidR="00425322" w:rsidRPr="00855BFC" w:rsidRDefault="00425322" w:rsidP="00855BFC">
      <w:pPr>
        <w:jc w:val="both"/>
      </w:pPr>
      <w:r>
        <w:t>Az optimális munkaközeggel kialakított rendszer körfolyamati hatásfoka 6,</w:t>
      </w:r>
      <w:r w:rsidRPr="00855BFC">
        <w:t xml:space="preserve">53%, leadott teljesítménye pedig 17,49 kW, mellyel a </w:t>
      </w:r>
      <w:proofErr w:type="spellStart"/>
      <w:r w:rsidRPr="00855BFC">
        <w:t>bio</w:t>
      </w:r>
      <w:proofErr w:type="spellEnd"/>
      <w:r w:rsidRPr="00855BFC">
        <w:t>-met</w:t>
      </w:r>
      <w:r w:rsidR="009200E9">
        <w:t>án</w:t>
      </w:r>
      <w:r w:rsidRPr="00855BFC">
        <w:t xml:space="preserve"> előállítás </w:t>
      </w:r>
      <w:r w:rsidRPr="00D50B1E">
        <w:t>hatásfoka</w:t>
      </w:r>
      <w:r w:rsidR="009200E9" w:rsidRPr="00D50B1E">
        <w:t xml:space="preserve"> (azaz a</w:t>
      </w:r>
      <w:r w:rsidR="00901D5D" w:rsidRPr="00D50B1E">
        <w:t xml:space="preserve">z </w:t>
      </w:r>
      <w:r w:rsidR="00901D5D" w:rsidRPr="00D50B1E">
        <w:rPr>
          <w:rFonts w:ascii="Symbol" w:hAnsi="Symbol"/>
          <w:i/>
        </w:rPr>
        <w:t></w:t>
      </w:r>
      <w:r w:rsidR="00901D5D" w:rsidRPr="00D50B1E">
        <w:rPr>
          <w:vertAlign w:val="subscript"/>
        </w:rPr>
        <w:t>be</w:t>
      </w:r>
      <w:r w:rsidR="00901D5D" w:rsidRPr="00D50B1E">
        <w:t>)</w:t>
      </w:r>
      <w:r w:rsidR="009200E9" w:rsidRPr="00D50B1E">
        <w:t xml:space="preserve"> </w:t>
      </w:r>
      <w:r w:rsidRPr="00D50B1E">
        <w:t>1,</w:t>
      </w:r>
      <w:r w:rsidRPr="00855BFC">
        <w:t>7 százalékponttal növelhető. A 3. táblázatban a modellhez kapcsolódó szimulációs eredmények találhatóak.</w:t>
      </w:r>
    </w:p>
    <w:p w:rsidR="00425322" w:rsidRDefault="00425322" w:rsidP="00425322">
      <w:pPr>
        <w:pStyle w:val="Caption"/>
        <w:keepNext/>
        <w:spacing w:after="120"/>
        <w:jc w:val="center"/>
      </w:pPr>
      <w:r w:rsidRPr="00855BFC">
        <w:rPr>
          <w:color w:val="auto"/>
        </w:rPr>
        <w:fldChar w:fldCharType="begin"/>
      </w:r>
      <w:r w:rsidRPr="00855BFC">
        <w:rPr>
          <w:color w:val="auto"/>
        </w:rPr>
        <w:instrText xml:space="preserve"> SEQ táblázat \* ARABIC </w:instrText>
      </w:r>
      <w:r w:rsidRPr="00855BFC">
        <w:rPr>
          <w:color w:val="auto"/>
        </w:rPr>
        <w:fldChar w:fldCharType="separate"/>
      </w:r>
      <w:r w:rsidR="00855BFC" w:rsidRPr="00855BFC">
        <w:rPr>
          <w:noProof/>
          <w:color w:val="auto"/>
        </w:rPr>
        <w:t>3</w:t>
      </w:r>
      <w:r w:rsidRPr="00855BFC">
        <w:rPr>
          <w:color w:val="auto"/>
        </w:rPr>
        <w:fldChar w:fldCharType="end"/>
      </w:r>
      <w:r w:rsidRPr="00855BFC">
        <w:rPr>
          <w:color w:val="auto"/>
        </w:rPr>
        <w:t>. táblázat</w:t>
      </w:r>
      <w:r w:rsidRPr="00855BFC">
        <w:t xml:space="preserve"> Az R134a munkaközegű ORC szimulációs eredményei</w:t>
      </w:r>
    </w:p>
    <w:tbl>
      <w:tblPr>
        <w:tblW w:w="3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873"/>
        <w:gridCol w:w="838"/>
        <w:gridCol w:w="1079"/>
        <w:gridCol w:w="850"/>
      </w:tblGrid>
      <w:tr w:rsidR="00425322" w:rsidRPr="00814142" w:rsidTr="00393450">
        <w:trPr>
          <w:trHeight w:val="466"/>
          <w:jc w:val="center"/>
        </w:trPr>
        <w:tc>
          <w:tcPr>
            <w:tcW w:w="873" w:type="dxa"/>
            <w:shd w:val="clear" w:color="auto" w:fill="auto"/>
            <w:tcMar>
              <w:top w:w="15" w:type="dxa"/>
              <w:left w:w="15" w:type="dxa"/>
              <w:bottom w:w="0" w:type="dxa"/>
              <w:right w:w="15" w:type="dxa"/>
            </w:tcMar>
            <w:vAlign w:val="center"/>
            <w:hideMark/>
          </w:tcPr>
          <w:p w:rsidR="00425322" w:rsidRPr="00814142" w:rsidRDefault="00425322" w:rsidP="00393450">
            <w:pPr>
              <w:spacing w:after="0"/>
            </w:pPr>
          </w:p>
        </w:tc>
        <w:tc>
          <w:tcPr>
            <w:tcW w:w="838"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Q, kW</w:t>
            </w:r>
          </w:p>
        </w:tc>
        <w:tc>
          <w:tcPr>
            <w:tcW w:w="1079" w:type="dxa"/>
            <w:shd w:val="clear" w:color="auto" w:fill="auto"/>
            <w:tcMar>
              <w:top w:w="15" w:type="dxa"/>
              <w:left w:w="15" w:type="dxa"/>
              <w:bottom w:w="0" w:type="dxa"/>
              <w:right w:w="15" w:type="dxa"/>
            </w:tcMar>
            <w:vAlign w:val="center"/>
            <w:hideMark/>
          </w:tcPr>
          <w:p w:rsidR="00425322" w:rsidRPr="00814142" w:rsidRDefault="00425322" w:rsidP="00393450">
            <w:pPr>
              <w:spacing w:after="0"/>
            </w:pPr>
          </w:p>
        </w:tc>
        <w:tc>
          <w:tcPr>
            <w:tcW w:w="850"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P, kW</w:t>
            </w:r>
          </w:p>
        </w:tc>
      </w:tr>
      <w:tr w:rsidR="00425322" w:rsidRPr="00814142" w:rsidTr="00393450">
        <w:trPr>
          <w:trHeight w:val="300"/>
          <w:jc w:val="center"/>
        </w:trPr>
        <w:tc>
          <w:tcPr>
            <w:tcW w:w="873"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HTX1</w:t>
            </w:r>
          </w:p>
        </w:tc>
        <w:tc>
          <w:tcPr>
            <w:tcW w:w="838"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199,15</w:t>
            </w:r>
          </w:p>
        </w:tc>
        <w:tc>
          <w:tcPr>
            <w:tcW w:w="1079"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T11</w:t>
            </w:r>
          </w:p>
        </w:tc>
        <w:tc>
          <w:tcPr>
            <w:tcW w:w="850"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19,00</w:t>
            </w:r>
          </w:p>
        </w:tc>
      </w:tr>
      <w:tr w:rsidR="00425322" w:rsidRPr="00814142" w:rsidTr="00393450">
        <w:trPr>
          <w:trHeight w:val="300"/>
          <w:jc w:val="center"/>
        </w:trPr>
        <w:tc>
          <w:tcPr>
            <w:tcW w:w="873"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HTX2</w:t>
            </w:r>
          </w:p>
        </w:tc>
        <w:tc>
          <w:tcPr>
            <w:tcW w:w="838"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76,18</w:t>
            </w:r>
          </w:p>
        </w:tc>
        <w:tc>
          <w:tcPr>
            <w:tcW w:w="1079"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P10</w:t>
            </w:r>
          </w:p>
        </w:tc>
        <w:tc>
          <w:tcPr>
            <w:tcW w:w="850"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-1,51</w:t>
            </w:r>
          </w:p>
        </w:tc>
      </w:tr>
      <w:tr w:rsidR="00425322" w:rsidRPr="00814142" w:rsidTr="00393450">
        <w:trPr>
          <w:trHeight w:val="300"/>
          <w:jc w:val="center"/>
        </w:trPr>
        <w:tc>
          <w:tcPr>
            <w:tcW w:w="873"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Q</w:t>
            </w:r>
          </w:p>
        </w:tc>
        <w:tc>
          <w:tcPr>
            <w:tcW w:w="838"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275,33</w:t>
            </w:r>
          </w:p>
        </w:tc>
        <w:tc>
          <w:tcPr>
            <w:tcW w:w="1079" w:type="dxa"/>
            <w:shd w:val="clear" w:color="auto" w:fill="auto"/>
            <w:tcMar>
              <w:top w:w="15" w:type="dxa"/>
              <w:left w:w="15" w:type="dxa"/>
              <w:bottom w:w="0" w:type="dxa"/>
              <w:right w:w="15" w:type="dxa"/>
            </w:tcMar>
            <w:vAlign w:val="bottom"/>
            <w:hideMark/>
          </w:tcPr>
          <w:p w:rsidR="00425322" w:rsidRPr="00814142" w:rsidRDefault="00425322" w:rsidP="00393450">
            <w:pPr>
              <w:spacing w:after="0"/>
            </w:pPr>
            <w:r w:rsidRPr="00814142">
              <w:t>Q/</w:t>
            </w:r>
            <w:proofErr w:type="spellStart"/>
            <w:r w:rsidRPr="00814142">
              <w:t>Qhossz</w:t>
            </w:r>
            <w:proofErr w:type="spellEnd"/>
          </w:p>
        </w:tc>
        <w:tc>
          <w:tcPr>
            <w:tcW w:w="850"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86,04%</w:t>
            </w:r>
          </w:p>
        </w:tc>
      </w:tr>
      <w:tr w:rsidR="00425322" w:rsidRPr="00814142" w:rsidTr="00393450">
        <w:trPr>
          <w:trHeight w:val="300"/>
          <w:jc w:val="center"/>
        </w:trPr>
        <w:tc>
          <w:tcPr>
            <w:tcW w:w="873" w:type="dxa"/>
            <w:shd w:val="clear" w:color="auto" w:fill="auto"/>
            <w:tcMar>
              <w:top w:w="15" w:type="dxa"/>
              <w:left w:w="15" w:type="dxa"/>
              <w:bottom w:w="0" w:type="dxa"/>
              <w:right w:w="15" w:type="dxa"/>
            </w:tcMar>
            <w:vAlign w:val="center"/>
            <w:hideMark/>
          </w:tcPr>
          <w:p w:rsidR="00425322" w:rsidRPr="00814142" w:rsidRDefault="00425322" w:rsidP="00393450">
            <w:pPr>
              <w:spacing w:after="0"/>
            </w:pPr>
            <w:proofErr w:type="spellStart"/>
            <w:r w:rsidRPr="00814142">
              <w:t>QHossz</w:t>
            </w:r>
            <w:proofErr w:type="spellEnd"/>
          </w:p>
        </w:tc>
        <w:tc>
          <w:tcPr>
            <w:tcW w:w="838"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320,00</w:t>
            </w:r>
          </w:p>
        </w:tc>
        <w:tc>
          <w:tcPr>
            <w:tcW w:w="1079" w:type="dxa"/>
            <w:shd w:val="clear" w:color="auto" w:fill="auto"/>
            <w:tcMar>
              <w:top w:w="15" w:type="dxa"/>
              <w:left w:w="15" w:type="dxa"/>
              <w:bottom w:w="0" w:type="dxa"/>
              <w:right w:w="15" w:type="dxa"/>
            </w:tcMar>
            <w:vAlign w:val="center"/>
            <w:hideMark/>
          </w:tcPr>
          <w:p w:rsidR="00425322" w:rsidRPr="00814142" w:rsidRDefault="00425322" w:rsidP="00393450">
            <w:pPr>
              <w:spacing w:after="0"/>
            </w:pPr>
            <w:proofErr w:type="spellStart"/>
            <w:r w:rsidRPr="00814142">
              <w:t>eta</w:t>
            </w:r>
            <w:proofErr w:type="spellEnd"/>
          </w:p>
        </w:tc>
        <w:tc>
          <w:tcPr>
            <w:tcW w:w="850" w:type="dxa"/>
            <w:shd w:val="clear" w:color="auto" w:fill="auto"/>
            <w:tcMar>
              <w:top w:w="15" w:type="dxa"/>
              <w:left w:w="15" w:type="dxa"/>
              <w:bottom w:w="0" w:type="dxa"/>
              <w:right w:w="15" w:type="dxa"/>
            </w:tcMar>
            <w:vAlign w:val="center"/>
            <w:hideMark/>
          </w:tcPr>
          <w:p w:rsidR="00425322" w:rsidRPr="00814142" w:rsidRDefault="00425322" w:rsidP="00393450">
            <w:pPr>
              <w:spacing w:after="0"/>
            </w:pPr>
            <w:r w:rsidRPr="00814142">
              <w:t>6,35%</w:t>
            </w:r>
          </w:p>
        </w:tc>
      </w:tr>
    </w:tbl>
    <w:p w:rsidR="00425322" w:rsidRDefault="00425322" w:rsidP="004A40ED">
      <w:pPr>
        <w:pStyle w:val="Heading3"/>
      </w:pPr>
      <w:r>
        <w:t>Eset II</w:t>
      </w:r>
    </w:p>
    <w:p w:rsidR="00425322" w:rsidRDefault="00425322" w:rsidP="00460FA0">
      <w:pPr>
        <w:jc w:val="both"/>
      </w:pPr>
      <w:r>
        <w:t xml:space="preserve">A hulladékhő a keletkezés </w:t>
      </w:r>
      <w:r w:rsidR="00460FA0">
        <w:t>helyén</w:t>
      </w:r>
      <w:r>
        <w:t xml:space="preserve"> került hasznosításra, így ebben az esetben egy </w:t>
      </w:r>
      <w:proofErr w:type="spellStart"/>
      <w:r>
        <w:t>elektrolizálóhoz</w:t>
      </w:r>
      <w:proofErr w:type="spellEnd"/>
      <w:r>
        <w:t xml:space="preserve"> és egy </w:t>
      </w:r>
      <w:proofErr w:type="spellStart"/>
      <w:r>
        <w:t>bio</w:t>
      </w:r>
      <w:proofErr w:type="spellEnd"/>
      <w:r>
        <w:t xml:space="preserve">-rektorhoz telepített ORC-t elemeztünk. A II/a. esetben az előzőekben bemutatott ipari </w:t>
      </w:r>
      <w:proofErr w:type="gramStart"/>
      <w:r>
        <w:t>konstrukció</w:t>
      </w:r>
      <w:proofErr w:type="gramEnd"/>
      <w:r>
        <w:t xml:space="preserve">, a </w:t>
      </w:r>
      <w:r>
        <w:lastRenderedPageBreak/>
        <w:t>II/b esetben pedig a maximális tengelyteljesítményt adó kialakítás került vizsgálatra a különböző hőforrások esetén.</w:t>
      </w:r>
    </w:p>
    <w:p w:rsidR="00425322" w:rsidRDefault="00425322" w:rsidP="00425322">
      <w:pPr>
        <w:pStyle w:val="ListParagraph"/>
        <w:numPr>
          <w:ilvl w:val="0"/>
          <w:numId w:val="2"/>
        </w:numPr>
        <w:jc w:val="both"/>
      </w:pPr>
      <w:r>
        <w:t>A II/a kapcsolások esetén az I/</w:t>
      </w:r>
      <w:proofErr w:type="gramStart"/>
      <w:r>
        <w:t>a</w:t>
      </w:r>
      <w:proofErr w:type="gramEnd"/>
      <w:r>
        <w:t xml:space="preserve"> esethez hasonlóan a </w:t>
      </w:r>
      <w:r w:rsidR="00460FA0">
        <w:t>m</w:t>
      </w:r>
      <w:r>
        <w:t>unkaközeg R245fa, az expander</w:t>
      </w:r>
      <w:r w:rsidR="00FD3E72">
        <w:t>ek</w:t>
      </w:r>
      <w:r>
        <w:t xml:space="preserve"> belső hatásfoka 72% és a rendszerek </w:t>
      </w:r>
      <w:proofErr w:type="spellStart"/>
      <w:r>
        <w:t>rekuperatív</w:t>
      </w:r>
      <w:proofErr w:type="spellEnd"/>
      <w:r>
        <w:t xml:space="preserve"> hőcserélőt is tartalmaznak. A modellezett kialakítás, mely mind a két forráshelyhez azonos felépítésű, a</w:t>
      </w:r>
      <w:r w:rsidR="00FD3E72">
        <w:t xml:space="preserve"> </w:t>
      </w:r>
      <w:r w:rsidR="00FD3E72" w:rsidRPr="00FD3E72">
        <w:t>7</w:t>
      </w:r>
      <w:r w:rsidRPr="00FD3E72">
        <w:t>. ábrán</w:t>
      </w:r>
      <w:r>
        <w:t xml:space="preserve"> látható.</w:t>
      </w:r>
    </w:p>
    <w:p w:rsidR="00425322" w:rsidRDefault="00425322" w:rsidP="00425322">
      <w:pPr>
        <w:keepNext/>
        <w:jc w:val="center"/>
      </w:pPr>
      <w:r w:rsidRPr="007402E3">
        <w:rPr>
          <w:noProof/>
          <w:lang w:val="en-US"/>
        </w:rPr>
        <w:drawing>
          <wp:inline distT="0" distB="0" distL="0" distR="0" wp14:anchorId="56453650" wp14:editId="384186A9">
            <wp:extent cx="2981325" cy="3080702"/>
            <wp:effectExtent l="0" t="0" r="0" b="5715"/>
            <wp:docPr id="1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4"/>
                    <pic:cNvPicPr>
                      <a:picLocks noChangeAspect="1"/>
                    </pic:cNvPicPr>
                  </pic:nvPicPr>
                  <pic:blipFill>
                    <a:blip r:embed="rId21"/>
                    <a:stretch>
                      <a:fillRect/>
                    </a:stretch>
                  </pic:blipFill>
                  <pic:spPr>
                    <a:xfrm>
                      <a:off x="0" y="0"/>
                      <a:ext cx="2991508" cy="3091224"/>
                    </a:xfrm>
                    <a:prstGeom prst="rect">
                      <a:avLst/>
                    </a:prstGeom>
                  </pic:spPr>
                </pic:pic>
              </a:graphicData>
            </a:graphic>
          </wp:inline>
        </w:drawing>
      </w:r>
    </w:p>
    <w:p w:rsidR="00425322" w:rsidRDefault="00425322" w:rsidP="00425322">
      <w:pPr>
        <w:pStyle w:val="Caption"/>
        <w:jc w:val="center"/>
      </w:pPr>
      <w:r w:rsidRPr="00FD3E72">
        <w:fldChar w:fldCharType="begin"/>
      </w:r>
      <w:r w:rsidRPr="00FD3E72">
        <w:instrText xml:space="preserve"> SEQ ábra \* ARABIC </w:instrText>
      </w:r>
      <w:r w:rsidRPr="00FD3E72">
        <w:fldChar w:fldCharType="separate"/>
      </w:r>
      <w:r w:rsidR="00FD3E72" w:rsidRPr="00FD3E72">
        <w:rPr>
          <w:noProof/>
        </w:rPr>
        <w:t>7</w:t>
      </w:r>
      <w:r w:rsidRPr="00FD3E72">
        <w:fldChar w:fldCharType="end"/>
      </w:r>
      <w:r w:rsidRPr="00FD3E72">
        <w:t>. ábra Hulladékhő</w:t>
      </w:r>
      <w:r>
        <w:t xml:space="preserve"> hasznosító ipari ORC a forrás helyén</w:t>
      </w:r>
    </w:p>
    <w:p w:rsidR="00425322" w:rsidRDefault="00425322" w:rsidP="00425322">
      <w:pPr>
        <w:ind w:left="284"/>
      </w:pPr>
      <w:r>
        <w:t xml:space="preserve">Az </w:t>
      </w:r>
      <w:proofErr w:type="spellStart"/>
      <w:r>
        <w:t>elektrolizálóhoz</w:t>
      </w:r>
      <w:proofErr w:type="spellEnd"/>
      <w:r>
        <w:t xml:space="preserve"> kapcsolt ORC hatásfoka 200 kW hulladékhő felhasználása mellett 7,11%, leadott teljesítménye pedig 14,22 kW. A </w:t>
      </w:r>
      <w:proofErr w:type="spellStart"/>
      <w:r>
        <w:t>bio</w:t>
      </w:r>
      <w:proofErr w:type="spellEnd"/>
      <w:r>
        <w:t>-reaktornál keletkező 120 kW hulladékhőt hasznosító ORC hatásfoka 6,38% és leadott teljesítménye 7,66 kW.</w:t>
      </w:r>
    </w:p>
    <w:p w:rsidR="00425322" w:rsidRDefault="00425322" w:rsidP="00425322">
      <w:pPr>
        <w:pStyle w:val="ListParagraph"/>
        <w:numPr>
          <w:ilvl w:val="0"/>
          <w:numId w:val="2"/>
        </w:numPr>
        <w:jc w:val="both"/>
      </w:pPr>
      <w:r>
        <w:t xml:space="preserve">A II/b-ben vizsgált </w:t>
      </w:r>
      <w:proofErr w:type="gramStart"/>
      <w:r>
        <w:t>konstrukciók</w:t>
      </w:r>
      <w:proofErr w:type="gramEnd"/>
      <w:r>
        <w:t xml:space="preserve"> esetében, már nem volt lehetséges az I/b-ben látott munkaközeg alkalmazása, mivel a </w:t>
      </w:r>
      <w:proofErr w:type="spellStart"/>
      <w:r>
        <w:t>bio</w:t>
      </w:r>
      <w:proofErr w:type="spellEnd"/>
      <w:r>
        <w:t xml:space="preserve">-rektornál keletkező 65°C-os hulladékhő esetén az R134a felhasználásával nem érhető el a kívánt maximális tengelyteljesítmény. A választott munkaközeg így a propán, mellyel mind 70°C mind 65°C-os hulladékhő esetén elérhető egy 72% belső hatásfokú expanderben a telített gőz állapotból közel telített gőz állapotba érkező </w:t>
      </w:r>
      <w:proofErr w:type="gramStart"/>
      <w:r>
        <w:t>expanzió</w:t>
      </w:r>
      <w:proofErr w:type="gramEnd"/>
      <w:r>
        <w:t>. A vizsgált kapcsolás</w:t>
      </w:r>
      <w:r w:rsidR="00FD3E72">
        <w:t>t</w:t>
      </w:r>
      <w:r>
        <w:t xml:space="preserve"> </w:t>
      </w:r>
      <w:r w:rsidRPr="00FD3E72">
        <w:t xml:space="preserve">a </w:t>
      </w:r>
      <w:r w:rsidR="00FD3E72">
        <w:fldChar w:fldCharType="begin"/>
      </w:r>
      <w:r w:rsidR="00FD3E72">
        <w:instrText xml:space="preserve"> REF _Ref92202403 \h </w:instrText>
      </w:r>
      <w:r w:rsidR="00FD3E72">
        <w:fldChar w:fldCharType="separate"/>
      </w:r>
      <w:r w:rsidR="00FD3E72" w:rsidRPr="00FD3E72">
        <w:rPr>
          <w:noProof/>
        </w:rPr>
        <w:t>8</w:t>
      </w:r>
      <w:r w:rsidR="00FD3E72" w:rsidRPr="00FD3E72">
        <w:t>. ábra</w:t>
      </w:r>
      <w:r w:rsidR="00FD3E72">
        <w:fldChar w:fldCharType="end"/>
      </w:r>
      <w:r w:rsidR="00FD3E72">
        <w:t xml:space="preserve"> mutatja</w:t>
      </w:r>
      <w:r>
        <w:t>.</w:t>
      </w:r>
    </w:p>
    <w:p w:rsidR="00425322" w:rsidRDefault="00425322" w:rsidP="00425322">
      <w:pPr>
        <w:keepNext/>
        <w:jc w:val="center"/>
      </w:pPr>
      <w:r w:rsidRPr="00FA58DF">
        <w:rPr>
          <w:noProof/>
          <w:lang w:val="en-US"/>
        </w:rPr>
        <w:lastRenderedPageBreak/>
        <w:drawing>
          <wp:inline distT="0" distB="0" distL="0" distR="0" wp14:anchorId="44D7D4F1" wp14:editId="2710E955">
            <wp:extent cx="3295650" cy="2523986"/>
            <wp:effectExtent l="0" t="0" r="0" b="0"/>
            <wp:docPr id="13"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ép 12"/>
                    <pic:cNvPicPr>
                      <a:picLocks noChangeAspect="1"/>
                    </pic:cNvPicPr>
                  </pic:nvPicPr>
                  <pic:blipFill>
                    <a:blip r:embed="rId22"/>
                    <a:stretch>
                      <a:fillRect/>
                    </a:stretch>
                  </pic:blipFill>
                  <pic:spPr>
                    <a:xfrm>
                      <a:off x="0" y="0"/>
                      <a:ext cx="3308652" cy="2533944"/>
                    </a:xfrm>
                    <a:prstGeom prst="rect">
                      <a:avLst/>
                    </a:prstGeom>
                  </pic:spPr>
                </pic:pic>
              </a:graphicData>
            </a:graphic>
          </wp:inline>
        </w:drawing>
      </w:r>
    </w:p>
    <w:bookmarkStart w:id="7" w:name="_Ref92202403"/>
    <w:p w:rsidR="00425322" w:rsidRPr="00A37AB1" w:rsidRDefault="00425322" w:rsidP="00425322">
      <w:pPr>
        <w:pStyle w:val="Caption"/>
        <w:jc w:val="center"/>
      </w:pPr>
      <w:r w:rsidRPr="00FD3E72">
        <w:fldChar w:fldCharType="begin"/>
      </w:r>
      <w:r w:rsidRPr="00FD3E72">
        <w:instrText xml:space="preserve"> SEQ ábra \* ARABIC </w:instrText>
      </w:r>
      <w:r w:rsidRPr="00FD3E72">
        <w:fldChar w:fldCharType="separate"/>
      </w:r>
      <w:r w:rsidR="00FD3E72" w:rsidRPr="00FD3E72">
        <w:rPr>
          <w:noProof/>
        </w:rPr>
        <w:t>8</w:t>
      </w:r>
      <w:r w:rsidRPr="00FD3E72">
        <w:fldChar w:fldCharType="end"/>
      </w:r>
      <w:r w:rsidRPr="00FD3E72">
        <w:t>. ábra</w:t>
      </w:r>
      <w:bookmarkEnd w:id="7"/>
      <w:r w:rsidRPr="00FD3E72">
        <w:t xml:space="preserve"> </w:t>
      </w:r>
      <w:r w:rsidR="00FD3E72" w:rsidRPr="00FD3E72">
        <w:t>Hulladékhő hasznosít</w:t>
      </w:r>
      <w:r w:rsidR="00FD3E72">
        <w:t xml:space="preserve">ás </w:t>
      </w:r>
      <w:r w:rsidR="00FD3E72" w:rsidRPr="00FD3E72">
        <w:t>ORC</w:t>
      </w:r>
      <w:r w:rsidR="00FD3E72">
        <w:t>-</w:t>
      </w:r>
      <w:proofErr w:type="spellStart"/>
      <w:r w:rsidR="00FD3E72">
        <w:t>ben</w:t>
      </w:r>
      <w:proofErr w:type="spellEnd"/>
      <w:r w:rsidR="00FD3E72">
        <w:t xml:space="preserve"> optimális munkaközeg alkalmazásával</w:t>
      </w:r>
      <w:r w:rsidR="00FD3E72" w:rsidRPr="00FD3E72">
        <w:t xml:space="preserve"> a forrás helyén</w:t>
      </w:r>
    </w:p>
    <w:p w:rsidR="00425322" w:rsidRDefault="00425322" w:rsidP="00425322">
      <w:pPr>
        <w:ind w:left="284"/>
      </w:pPr>
      <w:r>
        <w:t xml:space="preserve">Az </w:t>
      </w:r>
      <w:proofErr w:type="spellStart"/>
      <w:r>
        <w:t>elektrolizáló</w:t>
      </w:r>
      <w:proofErr w:type="spellEnd"/>
      <w:r>
        <w:t xml:space="preserve"> 200 kW hulladékhőjének felhasználására kialakított ORC hatásfoka 6,23%, leadott teljesítménye pedig 12,45 kW. A 65°C-os 120 kW hulladékhőt hasznosító ORC hatásfoka 5,67%-</w:t>
      </w:r>
      <w:proofErr w:type="spellStart"/>
      <w:r>
        <w:t>ra</w:t>
      </w:r>
      <w:proofErr w:type="spellEnd"/>
      <w:r>
        <w:t>, teljesítménye pedig 6,8 kW-ra adódott a szimulációk során.</w:t>
      </w:r>
    </w:p>
    <w:p w:rsidR="00425322" w:rsidRDefault="00425322" w:rsidP="004A40ED">
      <w:pPr>
        <w:pStyle w:val="Heading1"/>
      </w:pPr>
      <w:r>
        <w:t>Eredmények kiértékelése</w:t>
      </w:r>
    </w:p>
    <w:p w:rsidR="00425322" w:rsidRPr="00D3651B" w:rsidRDefault="00425322" w:rsidP="00EE5615">
      <w:pPr>
        <w:jc w:val="both"/>
      </w:pPr>
      <w:r w:rsidRPr="00D3651B">
        <w:t xml:space="preserve">A </w:t>
      </w:r>
      <w:r>
        <w:t xml:space="preserve">bemutatott </w:t>
      </w:r>
      <w:r w:rsidRPr="00D3651B">
        <w:t xml:space="preserve">esetek szimulációja során kapott </w:t>
      </w:r>
      <w:r w:rsidRPr="00652CB7">
        <w:t>eredmények a 4. táblázatban láthatóak</w:t>
      </w:r>
      <w:r w:rsidRPr="00D3651B">
        <w:t>.</w:t>
      </w:r>
    </w:p>
    <w:p w:rsidR="00425322" w:rsidRDefault="00425322" w:rsidP="00425322">
      <w:pPr>
        <w:pStyle w:val="Caption"/>
        <w:keepNext/>
        <w:spacing w:after="120"/>
        <w:jc w:val="center"/>
      </w:pPr>
      <w:r w:rsidRPr="00652CB7">
        <w:fldChar w:fldCharType="begin"/>
      </w:r>
      <w:r w:rsidRPr="00652CB7">
        <w:instrText xml:space="preserve"> SEQ táblázat \* ARABIC </w:instrText>
      </w:r>
      <w:r w:rsidRPr="00652CB7">
        <w:fldChar w:fldCharType="separate"/>
      </w:r>
      <w:r w:rsidR="00652CB7" w:rsidRPr="00652CB7">
        <w:rPr>
          <w:noProof/>
        </w:rPr>
        <w:t>4</w:t>
      </w:r>
      <w:r w:rsidRPr="00652CB7">
        <w:fldChar w:fldCharType="end"/>
      </w:r>
      <w:r w:rsidRPr="00652CB7">
        <w:t>. táblázat Szimulációs</w:t>
      </w:r>
      <w:r>
        <w:t xml:space="preserve"> eredmények a </w:t>
      </w:r>
      <w:proofErr w:type="spellStart"/>
      <w:r>
        <w:t>P</w:t>
      </w:r>
      <w:r w:rsidR="00652CB7">
        <w:t>tM</w:t>
      </w:r>
      <w:proofErr w:type="spellEnd"/>
      <w:r>
        <w:t xml:space="preserve"> üzemben keletkező hulladékhő ORC-</w:t>
      </w:r>
      <w:proofErr w:type="spellStart"/>
      <w:r>
        <w:t>ben</w:t>
      </w:r>
      <w:proofErr w:type="spellEnd"/>
      <w:r>
        <w:t xml:space="preserve"> történő hasznosítása esetén</w:t>
      </w:r>
    </w:p>
    <w:tbl>
      <w:tblPr>
        <w:tblW w:w="7655" w:type="dxa"/>
        <w:jc w:val="center"/>
        <w:tblCellMar>
          <w:left w:w="70" w:type="dxa"/>
          <w:right w:w="70" w:type="dxa"/>
        </w:tblCellMar>
        <w:tblLook w:val="04A0" w:firstRow="1" w:lastRow="0" w:firstColumn="1" w:lastColumn="0" w:noHBand="0" w:noVBand="1"/>
      </w:tblPr>
      <w:tblGrid>
        <w:gridCol w:w="1100"/>
        <w:gridCol w:w="1452"/>
        <w:gridCol w:w="1417"/>
        <w:gridCol w:w="1560"/>
        <w:gridCol w:w="2126"/>
      </w:tblGrid>
      <w:tr w:rsidR="00425322" w:rsidRPr="00800C78" w:rsidTr="00393450">
        <w:trPr>
          <w:trHeight w:val="545"/>
          <w:jc w:val="center"/>
        </w:trPr>
        <w:tc>
          <w:tcPr>
            <w:tcW w:w="1100" w:type="dxa"/>
            <w:tcBorders>
              <w:top w:val="nil"/>
              <w:left w:val="nil"/>
              <w:bottom w:val="single" w:sz="6" w:space="0" w:color="auto"/>
              <w:right w:val="nil"/>
            </w:tcBorders>
            <w:shd w:val="clear" w:color="auto" w:fill="auto"/>
            <w:noWrap/>
            <w:vAlign w:val="center"/>
            <w:hideMark/>
          </w:tcPr>
          <w:p w:rsidR="00425322" w:rsidRPr="00800C78" w:rsidRDefault="00425322" w:rsidP="00393450">
            <w:pPr>
              <w:spacing w:after="0" w:line="240" w:lineRule="auto"/>
              <w:rPr>
                <w:rFonts w:ascii="Times New Roman" w:eastAsia="Times New Roman" w:hAnsi="Times New Roman" w:cs="Times New Roman"/>
                <w:sz w:val="20"/>
                <w:szCs w:val="24"/>
                <w:lang w:eastAsia="hu-HU"/>
              </w:rPr>
            </w:pPr>
          </w:p>
        </w:tc>
        <w:tc>
          <w:tcPr>
            <w:tcW w:w="1452" w:type="dxa"/>
            <w:tcBorders>
              <w:top w:val="nil"/>
              <w:left w:val="nil"/>
              <w:bottom w:val="single" w:sz="6" w:space="0" w:color="auto"/>
              <w:right w:val="nil"/>
            </w:tcBorders>
            <w:shd w:val="clear" w:color="auto" w:fill="auto"/>
            <w:vAlign w:val="center"/>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ORC teljesítmény [kW]</w:t>
            </w:r>
          </w:p>
        </w:tc>
        <w:tc>
          <w:tcPr>
            <w:tcW w:w="1417" w:type="dxa"/>
            <w:tcBorders>
              <w:top w:val="nil"/>
              <w:left w:val="nil"/>
              <w:bottom w:val="single" w:sz="6" w:space="0" w:color="auto"/>
              <w:right w:val="nil"/>
            </w:tcBorders>
            <w:shd w:val="clear" w:color="auto" w:fill="auto"/>
            <w:vAlign w:val="center"/>
            <w:hideMark/>
          </w:tcPr>
          <w:p w:rsidR="00425322" w:rsidRPr="00800C78" w:rsidRDefault="00652CB7" w:rsidP="00652CB7">
            <w:pPr>
              <w:spacing w:after="0" w:line="240" w:lineRule="auto"/>
              <w:jc w:val="center"/>
              <w:rPr>
                <w:rFonts w:eastAsia="Times New Roman" w:cs="Calibri"/>
                <w:color w:val="000000"/>
                <w:lang w:eastAsia="hu-HU"/>
              </w:rPr>
            </w:pPr>
            <w:proofErr w:type="spellStart"/>
            <w:r>
              <w:rPr>
                <w:rFonts w:eastAsia="Times New Roman" w:cs="Calibri"/>
                <w:color w:val="000000"/>
                <w:lang w:eastAsia="hu-HU"/>
              </w:rPr>
              <w:t>PtM</w:t>
            </w:r>
            <w:proofErr w:type="spellEnd"/>
            <w:r w:rsidR="00425322" w:rsidRPr="00800C78">
              <w:rPr>
                <w:rFonts w:eastAsia="Times New Roman" w:cs="Calibri"/>
                <w:color w:val="000000"/>
                <w:lang w:eastAsia="hu-HU"/>
              </w:rPr>
              <w:t xml:space="preserve"> eredeti hatásfok</w:t>
            </w:r>
          </w:p>
        </w:tc>
        <w:tc>
          <w:tcPr>
            <w:tcW w:w="1560" w:type="dxa"/>
            <w:tcBorders>
              <w:top w:val="nil"/>
              <w:left w:val="nil"/>
              <w:bottom w:val="single" w:sz="6" w:space="0" w:color="auto"/>
              <w:right w:val="nil"/>
            </w:tcBorders>
            <w:shd w:val="clear" w:color="auto" w:fill="auto"/>
            <w:vAlign w:val="center"/>
            <w:hideMark/>
          </w:tcPr>
          <w:p w:rsidR="00425322" w:rsidRPr="00800C78" w:rsidRDefault="00425322" w:rsidP="00652CB7">
            <w:pPr>
              <w:spacing w:after="0" w:line="240" w:lineRule="auto"/>
              <w:jc w:val="center"/>
              <w:rPr>
                <w:rFonts w:eastAsia="Times New Roman" w:cs="Calibri"/>
                <w:color w:val="000000"/>
                <w:lang w:eastAsia="hu-HU"/>
              </w:rPr>
            </w:pPr>
            <w:proofErr w:type="spellStart"/>
            <w:r w:rsidRPr="00800C78">
              <w:rPr>
                <w:rFonts w:eastAsia="Times New Roman" w:cs="Calibri"/>
                <w:color w:val="000000"/>
                <w:lang w:eastAsia="hu-HU"/>
              </w:rPr>
              <w:t>P</w:t>
            </w:r>
            <w:r w:rsidR="00652CB7">
              <w:rPr>
                <w:rFonts w:eastAsia="Times New Roman" w:cs="Calibri"/>
                <w:color w:val="000000"/>
                <w:lang w:eastAsia="hu-HU"/>
              </w:rPr>
              <w:t>t</w:t>
            </w:r>
            <w:r w:rsidRPr="00800C78">
              <w:rPr>
                <w:rFonts w:eastAsia="Times New Roman" w:cs="Calibri"/>
                <w:color w:val="000000"/>
                <w:lang w:eastAsia="hu-HU"/>
              </w:rPr>
              <w:t>M</w:t>
            </w:r>
            <w:proofErr w:type="spellEnd"/>
            <w:r w:rsidRPr="00800C78">
              <w:rPr>
                <w:rFonts w:eastAsia="Times New Roman" w:cs="Calibri"/>
                <w:color w:val="000000"/>
                <w:lang w:eastAsia="hu-HU"/>
              </w:rPr>
              <w:t xml:space="preserve"> hatásfok ORC-</w:t>
            </w:r>
            <w:proofErr w:type="spellStart"/>
            <w:r w:rsidRPr="00800C78">
              <w:rPr>
                <w:rFonts w:eastAsia="Times New Roman" w:cs="Calibri"/>
                <w:color w:val="000000"/>
                <w:lang w:eastAsia="hu-HU"/>
              </w:rPr>
              <w:t>vel</w:t>
            </w:r>
            <w:proofErr w:type="spellEnd"/>
          </w:p>
        </w:tc>
        <w:tc>
          <w:tcPr>
            <w:tcW w:w="2126" w:type="dxa"/>
            <w:tcBorders>
              <w:top w:val="nil"/>
              <w:left w:val="nil"/>
              <w:bottom w:val="single" w:sz="6" w:space="0" w:color="auto"/>
              <w:right w:val="nil"/>
            </w:tcBorders>
            <w:shd w:val="clear" w:color="auto" w:fill="auto"/>
            <w:vAlign w:val="center"/>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Hatásfok növekedés [százalékpont]</w:t>
            </w:r>
          </w:p>
        </w:tc>
      </w:tr>
      <w:tr w:rsidR="00425322" w:rsidRPr="00800C78" w:rsidTr="00393450">
        <w:trPr>
          <w:trHeight w:val="330"/>
          <w:jc w:val="center"/>
        </w:trPr>
        <w:tc>
          <w:tcPr>
            <w:tcW w:w="1100" w:type="dxa"/>
            <w:tcBorders>
              <w:top w:val="single" w:sz="6" w:space="0" w:color="auto"/>
              <w:left w:val="nil"/>
              <w:bottom w:val="nil"/>
              <w:right w:val="nil"/>
            </w:tcBorders>
            <w:shd w:val="clear" w:color="auto" w:fill="auto"/>
            <w:noWrap/>
            <w:vAlign w:val="bottom"/>
            <w:hideMark/>
          </w:tcPr>
          <w:p w:rsidR="00425322" w:rsidRPr="00800C78" w:rsidRDefault="00425322" w:rsidP="00393450">
            <w:pPr>
              <w:spacing w:after="0" w:line="240" w:lineRule="auto"/>
              <w:rPr>
                <w:rFonts w:eastAsia="Times New Roman" w:cs="Calibri"/>
                <w:color w:val="000000"/>
                <w:lang w:eastAsia="hu-HU"/>
              </w:rPr>
            </w:pPr>
            <w:r w:rsidRPr="00800C78">
              <w:rPr>
                <w:rFonts w:eastAsia="Times New Roman" w:cs="Calibri"/>
                <w:color w:val="000000"/>
                <w:lang w:eastAsia="hu-HU"/>
              </w:rPr>
              <w:t>Eset I/</w:t>
            </w:r>
            <w:proofErr w:type="gramStart"/>
            <w:r w:rsidRPr="00800C78">
              <w:rPr>
                <w:rFonts w:eastAsia="Times New Roman" w:cs="Calibri"/>
                <w:color w:val="000000"/>
                <w:lang w:eastAsia="hu-HU"/>
              </w:rPr>
              <w:t>a.</w:t>
            </w:r>
            <w:proofErr w:type="gramEnd"/>
          </w:p>
        </w:tc>
        <w:tc>
          <w:tcPr>
            <w:tcW w:w="1452" w:type="dxa"/>
            <w:tcBorders>
              <w:top w:val="single" w:sz="6" w:space="0" w:color="auto"/>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16,98</w:t>
            </w:r>
          </w:p>
        </w:tc>
        <w:tc>
          <w:tcPr>
            <w:tcW w:w="1417" w:type="dxa"/>
            <w:tcBorders>
              <w:top w:val="single" w:sz="6" w:space="0" w:color="auto"/>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51,46%</w:t>
            </w:r>
          </w:p>
        </w:tc>
        <w:tc>
          <w:tcPr>
            <w:tcW w:w="1560" w:type="dxa"/>
            <w:tcBorders>
              <w:top w:val="single" w:sz="6" w:space="0" w:color="auto"/>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53,10%</w:t>
            </w:r>
          </w:p>
        </w:tc>
        <w:tc>
          <w:tcPr>
            <w:tcW w:w="2126" w:type="dxa"/>
            <w:tcBorders>
              <w:top w:val="single" w:sz="6" w:space="0" w:color="auto"/>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1,65</w:t>
            </w:r>
          </w:p>
        </w:tc>
      </w:tr>
      <w:tr w:rsidR="00425322" w:rsidRPr="00800C78" w:rsidTr="00393450">
        <w:trPr>
          <w:trHeight w:val="330"/>
          <w:jc w:val="center"/>
        </w:trPr>
        <w:tc>
          <w:tcPr>
            <w:tcW w:w="1100"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rPr>
                <w:rFonts w:eastAsia="Times New Roman" w:cs="Calibri"/>
                <w:color w:val="000000"/>
                <w:lang w:eastAsia="hu-HU"/>
              </w:rPr>
            </w:pPr>
            <w:r w:rsidRPr="00800C78">
              <w:rPr>
                <w:rFonts w:eastAsia="Times New Roman" w:cs="Calibri"/>
                <w:color w:val="000000"/>
                <w:lang w:eastAsia="hu-HU"/>
              </w:rPr>
              <w:t>Eset I/b.</w:t>
            </w:r>
          </w:p>
        </w:tc>
        <w:tc>
          <w:tcPr>
            <w:tcW w:w="1452"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17,49</w:t>
            </w:r>
          </w:p>
        </w:tc>
        <w:tc>
          <w:tcPr>
            <w:tcW w:w="1417"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51,46%</w:t>
            </w:r>
          </w:p>
        </w:tc>
        <w:tc>
          <w:tcPr>
            <w:tcW w:w="1560"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53,15%</w:t>
            </w:r>
          </w:p>
        </w:tc>
        <w:tc>
          <w:tcPr>
            <w:tcW w:w="2126"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1,70</w:t>
            </w:r>
          </w:p>
        </w:tc>
      </w:tr>
      <w:tr w:rsidR="00425322" w:rsidRPr="00800C78" w:rsidTr="00393450">
        <w:trPr>
          <w:trHeight w:val="330"/>
          <w:jc w:val="center"/>
        </w:trPr>
        <w:tc>
          <w:tcPr>
            <w:tcW w:w="1100"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rPr>
                <w:rFonts w:eastAsia="Times New Roman" w:cs="Calibri"/>
                <w:color w:val="000000"/>
                <w:lang w:eastAsia="hu-HU"/>
              </w:rPr>
            </w:pPr>
            <w:r w:rsidRPr="00800C78">
              <w:rPr>
                <w:rFonts w:eastAsia="Times New Roman" w:cs="Calibri"/>
                <w:color w:val="000000"/>
                <w:lang w:eastAsia="hu-HU"/>
              </w:rPr>
              <w:t>Eset II/</w:t>
            </w:r>
            <w:proofErr w:type="gramStart"/>
            <w:r w:rsidRPr="00800C78">
              <w:rPr>
                <w:rFonts w:eastAsia="Times New Roman" w:cs="Calibri"/>
                <w:color w:val="000000"/>
                <w:lang w:eastAsia="hu-HU"/>
              </w:rPr>
              <w:t>a.</w:t>
            </w:r>
            <w:proofErr w:type="gramEnd"/>
          </w:p>
        </w:tc>
        <w:tc>
          <w:tcPr>
            <w:tcW w:w="1452"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21,88</w:t>
            </w:r>
          </w:p>
        </w:tc>
        <w:tc>
          <w:tcPr>
            <w:tcW w:w="1417"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51,46%</w:t>
            </w:r>
          </w:p>
        </w:tc>
        <w:tc>
          <w:tcPr>
            <w:tcW w:w="1560"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53,58%</w:t>
            </w:r>
          </w:p>
        </w:tc>
        <w:tc>
          <w:tcPr>
            <w:tcW w:w="2126"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2,12</w:t>
            </w:r>
          </w:p>
        </w:tc>
      </w:tr>
      <w:tr w:rsidR="00425322" w:rsidRPr="00800C78" w:rsidTr="00393450">
        <w:trPr>
          <w:trHeight w:val="330"/>
          <w:jc w:val="center"/>
        </w:trPr>
        <w:tc>
          <w:tcPr>
            <w:tcW w:w="1100"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rPr>
                <w:rFonts w:eastAsia="Times New Roman" w:cs="Calibri"/>
                <w:color w:val="000000"/>
                <w:lang w:eastAsia="hu-HU"/>
              </w:rPr>
            </w:pPr>
            <w:r w:rsidRPr="00800C78">
              <w:rPr>
                <w:rFonts w:eastAsia="Times New Roman" w:cs="Calibri"/>
                <w:color w:val="000000"/>
                <w:lang w:eastAsia="hu-HU"/>
              </w:rPr>
              <w:t>Eset II/b.</w:t>
            </w:r>
          </w:p>
        </w:tc>
        <w:tc>
          <w:tcPr>
            <w:tcW w:w="1452"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19,25</w:t>
            </w:r>
          </w:p>
        </w:tc>
        <w:tc>
          <w:tcPr>
            <w:tcW w:w="1417"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51,46%</w:t>
            </w:r>
          </w:p>
        </w:tc>
        <w:tc>
          <w:tcPr>
            <w:tcW w:w="1560"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53,33%</w:t>
            </w:r>
          </w:p>
        </w:tc>
        <w:tc>
          <w:tcPr>
            <w:tcW w:w="2126" w:type="dxa"/>
            <w:tcBorders>
              <w:top w:val="nil"/>
              <w:left w:val="nil"/>
              <w:bottom w:val="nil"/>
              <w:right w:val="nil"/>
            </w:tcBorders>
            <w:shd w:val="clear" w:color="auto" w:fill="auto"/>
            <w:noWrap/>
            <w:vAlign w:val="bottom"/>
            <w:hideMark/>
          </w:tcPr>
          <w:p w:rsidR="00425322" w:rsidRPr="00800C78" w:rsidRDefault="00425322" w:rsidP="00393450">
            <w:pPr>
              <w:spacing w:after="0" w:line="240" w:lineRule="auto"/>
              <w:jc w:val="center"/>
              <w:rPr>
                <w:rFonts w:eastAsia="Times New Roman" w:cs="Calibri"/>
                <w:color w:val="000000"/>
                <w:lang w:eastAsia="hu-HU"/>
              </w:rPr>
            </w:pPr>
            <w:r w:rsidRPr="00800C78">
              <w:rPr>
                <w:rFonts w:eastAsia="Times New Roman" w:cs="Calibri"/>
                <w:color w:val="000000"/>
                <w:lang w:eastAsia="hu-HU"/>
              </w:rPr>
              <w:t>1,87</w:t>
            </w:r>
          </w:p>
        </w:tc>
      </w:tr>
    </w:tbl>
    <w:p w:rsidR="00425322" w:rsidRDefault="00425322" w:rsidP="00EE5615">
      <w:pPr>
        <w:spacing w:before="240"/>
        <w:jc w:val="both"/>
      </w:pPr>
      <w:r>
        <w:t>Kizárólag műszaki szempontokat figyelembe véve kedvezőbb megoldás, ha a hulladékhő átalakítása a keletkezési helyén valósul meg, mivel két ORC egység alkalmazásával a megtermelt villamosenergia 40%-</w:t>
      </w:r>
      <w:proofErr w:type="spellStart"/>
      <w:r>
        <w:t>al</w:t>
      </w:r>
      <w:proofErr w:type="spellEnd"/>
      <w:r>
        <w:t xml:space="preserve"> növelhető</w:t>
      </w:r>
      <w:r w:rsidR="00C37E59">
        <w:t>.</w:t>
      </w:r>
      <w:r>
        <w:t xml:space="preserve"> Ezen szempontok alapján a legkedvezőbb eset a II/</w:t>
      </w:r>
      <w:proofErr w:type="gramStart"/>
      <w:r>
        <w:t>a</w:t>
      </w:r>
      <w:proofErr w:type="gramEnd"/>
      <w:r>
        <w:t xml:space="preserve">, melynél 21,88 kW villamosenergia termelhető, ami alkalmas a </w:t>
      </w:r>
      <w:proofErr w:type="spellStart"/>
      <w:r w:rsidR="00652CB7">
        <w:t>PtM</w:t>
      </w:r>
      <w:proofErr w:type="spellEnd"/>
      <w:r>
        <w:t xml:space="preserve"> technológia hatásfokának 2,12%-pontos növelésére.</w:t>
      </w:r>
    </w:p>
    <w:p w:rsidR="00425322" w:rsidRDefault="00425322" w:rsidP="00EE5615">
      <w:pPr>
        <w:spacing w:before="240"/>
        <w:jc w:val="both"/>
      </w:pPr>
      <w:r>
        <w:t xml:space="preserve">Gazdasági szempontokat is figyelembe véve csak olyan megoldás képzelhető el, ahol egy darab ORC kerül beüzemelésre sorba kapcsolt hőforrásokkal. Így a legjobb esetnek az I/b adódik. Az itt alkalmazott, általunk preferált maximális tengelyteljesítményre optimált munkaközeg választás nem csak műszaki szempontból kedvezőbb, mint a gyárilag rendelkezésre álló társai, hanem a </w:t>
      </w:r>
      <w:proofErr w:type="gramStart"/>
      <w:r>
        <w:t>konstrukció</w:t>
      </w:r>
      <w:proofErr w:type="gramEnd"/>
      <w:r>
        <w:t xml:space="preserve"> is olcsóbb, hiszen kevesebb berendezésre van szükség benne.</w:t>
      </w:r>
    </w:p>
    <w:p w:rsidR="00425322" w:rsidRDefault="00425322" w:rsidP="00EE5615">
      <w:pPr>
        <w:spacing w:before="240"/>
        <w:jc w:val="both"/>
      </w:pPr>
      <w:r>
        <w:t>Arra is lehetőség van, hogy az ORC-</w:t>
      </w:r>
      <w:proofErr w:type="spellStart"/>
      <w:r>
        <w:t>vel</w:t>
      </w:r>
      <w:proofErr w:type="spellEnd"/>
      <w:r>
        <w:t xml:space="preserve"> a keverő villamosenergia-felvételét </w:t>
      </w:r>
      <w:proofErr w:type="spellStart"/>
      <w:r>
        <w:t>vált</w:t>
      </w:r>
      <w:r w:rsidR="00901D5D">
        <w:t>s</w:t>
      </w:r>
      <w:r>
        <w:t>uk</w:t>
      </w:r>
      <w:proofErr w:type="spellEnd"/>
      <w:r>
        <w:t xml:space="preserve"> ki. Tengelykapcsolón keresztül közvetlenül is meghajtható a </w:t>
      </w:r>
      <w:proofErr w:type="spellStart"/>
      <w:r>
        <w:t>bio</w:t>
      </w:r>
      <w:proofErr w:type="spellEnd"/>
      <w:r>
        <w:t xml:space="preserve">-rektor keverője. Ebben az esetben nem villamosenergia </w:t>
      </w:r>
      <w:r>
        <w:lastRenderedPageBreak/>
        <w:t>átalakítás történik, hanem az ORC tengelyteljesítményének közvetlen hasznosítása.</w:t>
      </w:r>
      <w:r w:rsidR="00901D5D">
        <w:t xml:space="preserve"> Ez a megoldás olcsóbb is (nincs szükség generátorra) és a hatásfoka is jobb (a generátor alkalmazása ugyan csak kis mértékben, de csökkentené a hatásfokot). A 4. táblázat és a 4. ábra adatait összehasonlítva látjuk, hogy a keveréshez szükséges 30 kW jelentős része (kb. 17-22 kW) fedezhető lenne ebből a forrásból.</w:t>
      </w:r>
    </w:p>
    <w:p w:rsidR="00901D5D" w:rsidRPr="00D50B1E" w:rsidRDefault="00901D5D" w:rsidP="00901D5D">
      <w:pPr>
        <w:pStyle w:val="Heading1"/>
        <w:rPr>
          <w:color w:val="auto"/>
        </w:rPr>
      </w:pPr>
      <w:r w:rsidRPr="00D50B1E">
        <w:rPr>
          <w:color w:val="auto"/>
        </w:rPr>
        <w:t>Összefoglalás</w:t>
      </w:r>
    </w:p>
    <w:p w:rsidR="00901D5D" w:rsidRPr="00D50B1E" w:rsidRDefault="00901D5D" w:rsidP="00901D5D">
      <w:pPr>
        <w:spacing w:before="240"/>
        <w:jc w:val="both"/>
      </w:pPr>
      <w:r w:rsidRPr="00D50B1E">
        <w:t xml:space="preserve">A cikk elején röviden bemutattuk, hogy miért van a közeljövőben egyre nagyobb szükség nagy tárolási </w:t>
      </w:r>
      <w:proofErr w:type="gramStart"/>
      <w:r w:rsidRPr="00D50B1E">
        <w:t>kapacitású</w:t>
      </w:r>
      <w:proofErr w:type="gramEnd"/>
      <w:r w:rsidRPr="00D50B1E">
        <w:t xml:space="preserve"> energiatárolási megoldásokra. Ezután </w:t>
      </w:r>
      <w:r w:rsidR="00D50B1E" w:rsidRPr="00D50B1E">
        <w:t xml:space="preserve">részletesen ismertettünk </w:t>
      </w:r>
      <w:r w:rsidRPr="00D50B1E">
        <w:t xml:space="preserve">egy ilyen megoldást, az úgynevezett </w:t>
      </w:r>
      <w:proofErr w:type="spellStart"/>
      <w:r w:rsidRPr="00D50B1E">
        <w:t>Power-to-Methane</w:t>
      </w:r>
      <w:proofErr w:type="spellEnd"/>
      <w:r w:rsidRPr="00D50B1E">
        <w:t xml:space="preserve"> (</w:t>
      </w:r>
      <w:proofErr w:type="spellStart"/>
      <w:r w:rsidRPr="00D50B1E">
        <w:t>PtM</w:t>
      </w:r>
      <w:proofErr w:type="spellEnd"/>
      <w:r w:rsidRPr="00D50B1E">
        <w:t xml:space="preserve"> vagy P2M) technológiát, amelyben a tárolandó villamosenergia segítségével vízbontással hidrogént állítanak elő, majd ezt biokémiai úton, szén-dioxid hozzáadásával </w:t>
      </w:r>
      <w:proofErr w:type="spellStart"/>
      <w:r w:rsidRPr="00D50B1E">
        <w:t>metanizálják</w:t>
      </w:r>
      <w:proofErr w:type="spellEnd"/>
      <w:r w:rsidRPr="00D50B1E">
        <w:t>. A technológia fő előnye, hogy a keletkező metán együtt tárolható és használható a földgázzal, hátránya viszont</w:t>
      </w:r>
      <w:r w:rsidR="00D50B1E" w:rsidRPr="00D50B1E">
        <w:t xml:space="preserve"> az alacsony tárolási hatásfok.</w:t>
      </w:r>
    </w:p>
    <w:p w:rsidR="00901D5D" w:rsidRDefault="00CF35BB" w:rsidP="00EE5615">
      <w:pPr>
        <w:spacing w:before="240"/>
        <w:jc w:val="both"/>
      </w:pPr>
      <w:r w:rsidRPr="00D50B1E">
        <w:t xml:space="preserve">A cikk második felében egy </w:t>
      </w:r>
      <w:proofErr w:type="gramStart"/>
      <w:r w:rsidRPr="00D50B1E">
        <w:t>konkrét</w:t>
      </w:r>
      <w:proofErr w:type="gramEnd"/>
      <w:r w:rsidRPr="00D50B1E">
        <w:t xml:space="preserve"> tároló adatait felhasználva megmutattuk, hogy hogyan növelhető a betáplálási (és így a teljes tárolási) hatásfok is a vízbontó és </w:t>
      </w:r>
      <w:proofErr w:type="spellStart"/>
      <w:r w:rsidRPr="00D50B1E">
        <w:t>metanizáló</w:t>
      </w:r>
      <w:proofErr w:type="spellEnd"/>
      <w:r w:rsidRPr="00D50B1E">
        <w:t xml:space="preserve"> berendezések alacsony hőmérsékletű hulladékhőjének villamosenergiává való visszaalakításával, amihez négy különböző ORC-alapú konfigurációt használtunk. A villamosenergia </w:t>
      </w:r>
      <w:proofErr w:type="spellStart"/>
      <w:r w:rsidRPr="00D50B1E">
        <w:t>bio</w:t>
      </w:r>
      <w:proofErr w:type="spellEnd"/>
      <w:r w:rsidRPr="00D50B1E">
        <w:t>-metánná való átalakításának (azaz a tárolás első részének) a hatásfoka a konfigurációktól függően 1,65-2,12 százalékpontot növekedett. Ez – amennyiben a villamosenergiává való visszaalakítás változatlan marad – a teljes hatásfok ugyanekkora arányú növekedését eredményez</w:t>
      </w:r>
      <w:r w:rsidR="001614B2">
        <w:t>het</w:t>
      </w:r>
      <w:r w:rsidRPr="00D50B1E">
        <w:t>i.</w:t>
      </w:r>
    </w:p>
    <w:p w:rsidR="007C7F0B" w:rsidRDefault="007C7F0B" w:rsidP="00EE5615">
      <w:pPr>
        <w:spacing w:before="240"/>
        <w:jc w:val="both"/>
      </w:pPr>
    </w:p>
    <w:p w:rsidR="00425322" w:rsidRDefault="00425322" w:rsidP="00425322">
      <w:pPr>
        <w:pStyle w:val="Heading1"/>
      </w:pPr>
      <w:r>
        <w:t>Köszönetnyilvánítás</w:t>
      </w:r>
    </w:p>
    <w:p w:rsidR="0094586D" w:rsidRPr="00D50B1E" w:rsidRDefault="005930C3" w:rsidP="0094586D">
      <w:r>
        <w:t xml:space="preserve">- </w:t>
      </w:r>
      <w:r w:rsidR="0094586D" w:rsidRPr="00D50B1E">
        <w:t xml:space="preserve">A munka a 2020-3.1.1-ZFR-KVG-2020-00006 számú projekt keretén belül a Nemzeti Kutatási Fejlesztési és Innovációs Alapból biztosított támogatással, a 2020-3.1.2- ZFR-KVG pályázati program </w:t>
      </w:r>
      <w:proofErr w:type="gramStart"/>
      <w:r w:rsidR="0094586D" w:rsidRPr="00D50B1E">
        <w:t>finanszírozásában</w:t>
      </w:r>
      <w:proofErr w:type="gramEnd"/>
      <w:r w:rsidR="0094586D" w:rsidRPr="00D50B1E">
        <w:t xml:space="preserve"> valósult meg.</w:t>
      </w:r>
    </w:p>
    <w:p w:rsidR="00425322" w:rsidRPr="00AE5EA7" w:rsidRDefault="005930C3" w:rsidP="00425322">
      <w:r>
        <w:t xml:space="preserve">- </w:t>
      </w:r>
      <w:r w:rsidR="00425322" w:rsidRPr="00AE5EA7">
        <w:t xml:space="preserve">Az Innovációs és Technológiai Minisztérium ÚNKP-21-3 kódszámú Új Nemzeti Kiválóság Programjának a Nemzeti Kutatási, Fejlesztési és Innovációs Alapból </w:t>
      </w:r>
      <w:proofErr w:type="gramStart"/>
      <w:r w:rsidR="00425322" w:rsidRPr="00AE5EA7">
        <w:t>finanszírozott</w:t>
      </w:r>
      <w:proofErr w:type="gramEnd"/>
      <w:r w:rsidR="00DD3638">
        <w:t xml:space="preserve"> szakmai támogatásával készült.</w:t>
      </w:r>
    </w:p>
    <w:p w:rsidR="00DD3638" w:rsidRPr="00AE5EA7" w:rsidRDefault="005930C3" w:rsidP="00DD3638">
      <w:r>
        <w:t xml:space="preserve">- </w:t>
      </w:r>
      <w:r w:rsidR="00DD3638" w:rsidRPr="00AE5EA7">
        <w:t>Az Innovációs és Technológiai Minisztérium ÚNKP-21-</w:t>
      </w:r>
      <w:r w:rsidR="00DD3638">
        <w:t>5</w:t>
      </w:r>
      <w:r w:rsidR="00DD3638" w:rsidRPr="00AE5EA7">
        <w:t xml:space="preserve"> kódszámú Új Nemzeti Kiválóság Programjának a Nemzeti Kutatási, Fejlesztési és Innovációs Alapból </w:t>
      </w:r>
      <w:proofErr w:type="gramStart"/>
      <w:r w:rsidR="00DD3638" w:rsidRPr="00AE5EA7">
        <w:t>finanszírozott</w:t>
      </w:r>
      <w:proofErr w:type="gramEnd"/>
      <w:r w:rsidR="00DD3638">
        <w:t xml:space="preserve"> szakmai támogatásával készült.</w:t>
      </w:r>
    </w:p>
    <w:p w:rsidR="00DD3638" w:rsidRDefault="005930C3" w:rsidP="00EE6CED">
      <w:pPr>
        <w:jc w:val="both"/>
        <w:rPr>
          <w:rFonts w:asciiTheme="majorHAnsi" w:hAnsiTheme="majorHAnsi" w:cs="Times New Roman"/>
          <w:smallCaps/>
          <w:sz w:val="20"/>
          <w:szCs w:val="20"/>
        </w:rPr>
      </w:pPr>
      <w:r>
        <w:t xml:space="preserve">- </w:t>
      </w:r>
      <w:r w:rsidR="001C3A95">
        <w:t>Ez a publikáció a Bolyai János Kutatási Ösztöndíj támogatásával készült.</w:t>
      </w:r>
    </w:p>
    <w:p w:rsidR="0054673D" w:rsidRDefault="0054673D">
      <w:r>
        <w:br w:type="page"/>
      </w:r>
      <w:bookmarkStart w:id="8" w:name="_GoBack"/>
      <w:bookmarkEnd w:id="8"/>
    </w:p>
    <w:p w:rsidR="000C796E" w:rsidRPr="00EE6234" w:rsidRDefault="00EE6234" w:rsidP="004A40ED">
      <w:pPr>
        <w:pStyle w:val="Heading1"/>
      </w:pPr>
      <w:r w:rsidRPr="00EE6234">
        <w:lastRenderedPageBreak/>
        <w:t>Irodalom</w:t>
      </w:r>
    </w:p>
    <w:p w:rsidR="009974CC" w:rsidRPr="009974CC" w:rsidRDefault="00180071" w:rsidP="009974CC">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9974CC" w:rsidRPr="009974CC">
        <w:rPr>
          <w:rFonts w:ascii="Calibri" w:hAnsi="Calibri" w:cs="Calibri"/>
          <w:noProof/>
          <w:szCs w:val="24"/>
        </w:rPr>
        <w:t>[1]</w:t>
      </w:r>
      <w:r w:rsidR="009974CC" w:rsidRPr="009974CC">
        <w:rPr>
          <w:rFonts w:ascii="Calibri" w:hAnsi="Calibri" w:cs="Calibri"/>
          <w:noProof/>
          <w:szCs w:val="24"/>
        </w:rPr>
        <w:tab/>
        <w:t>Innovációs és Technológiai Minisztérium, “Nemzeti Energia- és Klímaterv,” 2020.</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w:t>
      </w:r>
      <w:r w:rsidRPr="009974CC">
        <w:rPr>
          <w:rFonts w:ascii="Calibri" w:hAnsi="Calibri" w:cs="Calibri"/>
          <w:noProof/>
          <w:szCs w:val="24"/>
        </w:rPr>
        <w:tab/>
        <w:t>Magyar Villamosenergia-ipari Átviteli Rendszerirányító ZRt., “A Magyar Villamosenergia -rendszer fogyasztói igényeinek előrejelzése 2019.,” 2019.</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w:t>
      </w:r>
      <w:r w:rsidRPr="009974CC">
        <w:rPr>
          <w:rFonts w:ascii="Calibri" w:hAnsi="Calibri" w:cs="Calibri"/>
          <w:noProof/>
          <w:szCs w:val="24"/>
        </w:rPr>
        <w:tab/>
        <w:t>Magyar Villamosenergia-ipari Átviteli Rendszerirányító ZRt., “A Magyar Villamosenergia- rendszer közép- és hosszú távú forrásoldali kapacitás fejlesztése 2019.,” 2019.</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[4]</w:t>
      </w:r>
      <w:r w:rsidRPr="009974CC">
        <w:rPr>
          <w:rFonts w:ascii="Calibri" w:hAnsi="Calibri" w:cs="Calibri"/>
          <w:noProof/>
          <w:szCs w:val="24"/>
        </w:rPr>
        <w:tab/>
        <w:t xml:space="preserve">G. Pintér, “The potential role of power-to-gas technology connected to photovoltaic power plants in the visegrad countries-a case study,” </w:t>
      </w:r>
      <w:r w:rsidRPr="009974CC">
        <w:rPr>
          <w:rFonts w:ascii="Calibri" w:hAnsi="Calibri" w:cs="Calibri"/>
          <w:i/>
          <w:iCs/>
          <w:noProof/>
          <w:szCs w:val="24"/>
        </w:rPr>
        <w:t>Energies</w:t>
      </w:r>
      <w:r w:rsidRPr="009974CC">
        <w:rPr>
          <w:rFonts w:ascii="Calibri" w:hAnsi="Calibri" w:cs="Calibri"/>
          <w:noProof/>
          <w:szCs w:val="24"/>
        </w:rPr>
        <w:t>, vol. 13, no. 23, pp. 1–14, 2020, doi: 10.3390/en13236408.</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[5]</w:t>
      </w:r>
      <w:r w:rsidRPr="009974CC">
        <w:rPr>
          <w:rFonts w:ascii="Calibri" w:hAnsi="Calibri" w:cs="Calibri"/>
          <w:noProof/>
          <w:szCs w:val="24"/>
        </w:rPr>
        <w:tab/>
        <w:t xml:space="preserve">C. K. Das </w:t>
      </w:r>
      <w:r w:rsidRPr="009974CC">
        <w:rPr>
          <w:rFonts w:ascii="Calibri" w:hAnsi="Calibri" w:cs="Calibri"/>
          <w:i/>
          <w:iCs/>
          <w:noProof/>
          <w:szCs w:val="24"/>
        </w:rPr>
        <w:t>et al.</w:t>
      </w:r>
      <w:r w:rsidRPr="009974CC">
        <w:rPr>
          <w:rFonts w:ascii="Calibri" w:hAnsi="Calibri" w:cs="Calibri"/>
          <w:noProof/>
          <w:szCs w:val="24"/>
        </w:rPr>
        <w:t xml:space="preserve">, “Optimal sizing of a utility-scale energy storage system in transmission networks to improve frequency response,” </w:t>
      </w:r>
      <w:r w:rsidRPr="009974CC">
        <w:rPr>
          <w:rFonts w:ascii="Calibri" w:hAnsi="Calibri" w:cs="Calibri"/>
          <w:i/>
          <w:iCs/>
          <w:noProof/>
          <w:szCs w:val="24"/>
        </w:rPr>
        <w:t>J. Energy Storage</w:t>
      </w:r>
      <w:r w:rsidRPr="009974CC">
        <w:rPr>
          <w:rFonts w:ascii="Calibri" w:hAnsi="Calibri" w:cs="Calibri"/>
          <w:noProof/>
          <w:szCs w:val="24"/>
        </w:rPr>
        <w:t>, vol. 29, no. February, p. 101315, 2020, doi: 10.1016/j.est.2020.101315.</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[6]</w:t>
      </w:r>
      <w:r w:rsidRPr="009974CC">
        <w:rPr>
          <w:rFonts w:ascii="Calibri" w:hAnsi="Calibri" w:cs="Calibri"/>
          <w:noProof/>
          <w:szCs w:val="24"/>
        </w:rPr>
        <w:tab/>
        <w:t xml:space="preserve">W. He, M. King, X. Luo, M. Dooner, D. Li, and J. Wang, “Technologies and economics of electric energy storages in power systems: Review and perspective,” </w:t>
      </w:r>
      <w:r w:rsidRPr="009974CC">
        <w:rPr>
          <w:rFonts w:ascii="Calibri" w:hAnsi="Calibri" w:cs="Calibri"/>
          <w:i/>
          <w:iCs/>
          <w:noProof/>
          <w:szCs w:val="24"/>
        </w:rPr>
        <w:t>Adv. Appl. Energy</w:t>
      </w:r>
      <w:r w:rsidRPr="009974CC">
        <w:rPr>
          <w:rFonts w:ascii="Calibri" w:hAnsi="Calibri" w:cs="Calibri"/>
          <w:noProof/>
          <w:szCs w:val="24"/>
        </w:rPr>
        <w:t>, vol. 4, no. July, p. 100060, 2021, doi: 10.1016/j.adapen.2021.100060.</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[7]</w:t>
      </w:r>
      <w:r w:rsidRPr="009974CC">
        <w:rPr>
          <w:rFonts w:ascii="Calibri" w:hAnsi="Calibri" w:cs="Calibri"/>
          <w:noProof/>
          <w:szCs w:val="24"/>
        </w:rPr>
        <w:tab/>
        <w:t xml:space="preserve">H. Blanco, W. Nijs, J. Ruf, and A. Faaij, “Potential of Power-to-Methane in the EU energy transition to a low carbon system using cost optimization,” </w:t>
      </w:r>
      <w:r w:rsidRPr="009974CC">
        <w:rPr>
          <w:rFonts w:ascii="Calibri" w:hAnsi="Calibri" w:cs="Calibri"/>
          <w:i/>
          <w:iCs/>
          <w:noProof/>
          <w:szCs w:val="24"/>
        </w:rPr>
        <w:t>Appl. Energy</w:t>
      </w:r>
      <w:r w:rsidRPr="009974CC">
        <w:rPr>
          <w:rFonts w:ascii="Calibri" w:hAnsi="Calibri" w:cs="Calibri"/>
          <w:noProof/>
          <w:szCs w:val="24"/>
        </w:rPr>
        <w:t>, vol. 232, no. April, pp. 323–340, 2018, doi: 10.1016/j.apenergy.2018.08.027.</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[8]</w:t>
      </w:r>
      <w:r w:rsidRPr="009974CC">
        <w:rPr>
          <w:rFonts w:ascii="Calibri" w:hAnsi="Calibri" w:cs="Calibri"/>
          <w:noProof/>
          <w:szCs w:val="24"/>
        </w:rPr>
        <w:tab/>
        <w:t xml:space="preserve">Z. Csedo, B. Sinóros-Szabó, and M. Zavarkó, “Seasonal energy storage potential assessment of WWTPs with power-to-methane technology,” </w:t>
      </w:r>
      <w:r w:rsidRPr="009974CC">
        <w:rPr>
          <w:rFonts w:ascii="Calibri" w:hAnsi="Calibri" w:cs="Calibri"/>
          <w:i/>
          <w:iCs/>
          <w:noProof/>
          <w:szCs w:val="24"/>
        </w:rPr>
        <w:t>Energies</w:t>
      </w:r>
      <w:r w:rsidRPr="009974CC">
        <w:rPr>
          <w:rFonts w:ascii="Calibri" w:hAnsi="Calibri" w:cs="Calibri"/>
          <w:noProof/>
          <w:szCs w:val="24"/>
        </w:rPr>
        <w:t>, vol. 13, no. 18, 2020, doi: 10.3390/en13184973.</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[9]</w:t>
      </w:r>
      <w:r w:rsidRPr="009974CC">
        <w:rPr>
          <w:rFonts w:ascii="Calibri" w:hAnsi="Calibri" w:cs="Calibri"/>
          <w:noProof/>
          <w:szCs w:val="24"/>
        </w:rPr>
        <w:tab/>
        <w:t>F. Crotogino, H. Landinger, U. Bünger, T. Raksha, J. Simon, and L. Correas, “Update of Benchmarking of large scale hydrogen underground storage with competing options,” 2014. [Online]. Available: http://hyunder.eu/wp-content/uploads/2016/01/D2.1_Benchmarking-of-large-scale-seasonal-hydrogen-underground-storage-with-competing-options.pdf.</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[10]</w:t>
      </w:r>
      <w:r w:rsidRPr="009974CC">
        <w:rPr>
          <w:rFonts w:ascii="Calibri" w:hAnsi="Calibri" w:cs="Calibri"/>
          <w:noProof/>
          <w:szCs w:val="24"/>
        </w:rPr>
        <w:tab/>
        <w:t xml:space="preserve">M. Lehner, R. Tichler, H. Steinmüller, and M. Koppe, “The Power-to-Gas Concept,” in </w:t>
      </w:r>
      <w:r w:rsidRPr="009974CC">
        <w:rPr>
          <w:rFonts w:ascii="Calibri" w:hAnsi="Calibri" w:cs="Calibri"/>
          <w:i/>
          <w:iCs/>
          <w:noProof/>
          <w:szCs w:val="24"/>
        </w:rPr>
        <w:t>Power-to-Gas: Technology and Business Models.</w:t>
      </w:r>
      <w:r w:rsidRPr="009974CC">
        <w:rPr>
          <w:rFonts w:ascii="Calibri" w:hAnsi="Calibri" w:cs="Calibri"/>
          <w:noProof/>
          <w:szCs w:val="24"/>
        </w:rPr>
        <w:t>, SpringerBr., Springer, 2014, pp. 7–17.</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[11]</w:t>
      </w:r>
      <w:r w:rsidRPr="009974CC">
        <w:rPr>
          <w:rFonts w:ascii="Calibri" w:hAnsi="Calibri" w:cs="Calibri"/>
          <w:noProof/>
          <w:szCs w:val="24"/>
        </w:rPr>
        <w:tab/>
        <w:t xml:space="preserve">M. Götz </w:t>
      </w:r>
      <w:r w:rsidRPr="009974CC">
        <w:rPr>
          <w:rFonts w:ascii="Calibri" w:hAnsi="Calibri" w:cs="Calibri"/>
          <w:i/>
          <w:iCs/>
          <w:noProof/>
          <w:szCs w:val="24"/>
        </w:rPr>
        <w:t>et al.</w:t>
      </w:r>
      <w:r w:rsidRPr="009974CC">
        <w:rPr>
          <w:rFonts w:ascii="Calibri" w:hAnsi="Calibri" w:cs="Calibri"/>
          <w:noProof/>
          <w:szCs w:val="24"/>
        </w:rPr>
        <w:t xml:space="preserve">, “Renewable Power-to-Gas: A technological and economic review,” </w:t>
      </w:r>
      <w:r w:rsidRPr="009974CC">
        <w:rPr>
          <w:rFonts w:ascii="Calibri" w:hAnsi="Calibri" w:cs="Calibri"/>
          <w:i/>
          <w:iCs/>
          <w:noProof/>
          <w:szCs w:val="24"/>
        </w:rPr>
        <w:t>Renew. Energy</w:t>
      </w:r>
      <w:r w:rsidRPr="009974CC">
        <w:rPr>
          <w:rFonts w:ascii="Calibri" w:hAnsi="Calibri" w:cs="Calibri"/>
          <w:noProof/>
          <w:szCs w:val="24"/>
        </w:rPr>
        <w:t>, vol. 85, pp. 1371–1390, 2016, doi: 10.1016/j.renene.2015.07.066.</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[12]</w:t>
      </w:r>
      <w:r w:rsidRPr="009974CC">
        <w:rPr>
          <w:rFonts w:ascii="Calibri" w:hAnsi="Calibri" w:cs="Calibri"/>
          <w:noProof/>
          <w:szCs w:val="24"/>
        </w:rPr>
        <w:tab/>
        <w:t xml:space="preserve">A. Ursúa, L. M. Gandía, and P. Sanchis, “Hydrogen production from water electrolysis: Current status and future trends,” </w:t>
      </w:r>
      <w:r w:rsidRPr="009974CC">
        <w:rPr>
          <w:rFonts w:ascii="Calibri" w:hAnsi="Calibri" w:cs="Calibri"/>
          <w:i/>
          <w:iCs/>
          <w:noProof/>
          <w:szCs w:val="24"/>
        </w:rPr>
        <w:t>Proc. IEEE</w:t>
      </w:r>
      <w:r w:rsidRPr="009974CC">
        <w:rPr>
          <w:rFonts w:ascii="Calibri" w:hAnsi="Calibri" w:cs="Calibri"/>
          <w:noProof/>
          <w:szCs w:val="24"/>
        </w:rPr>
        <w:t>, vol. 100, no. 2, pp. 410–426, 2012, doi: 10.1109/JPROC.2011.2156750.</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[13]</w:t>
      </w:r>
      <w:r w:rsidRPr="009974CC">
        <w:rPr>
          <w:rFonts w:ascii="Calibri" w:hAnsi="Calibri" w:cs="Calibri"/>
          <w:noProof/>
          <w:szCs w:val="24"/>
        </w:rPr>
        <w:tab/>
        <w:t xml:space="preserve">J. Mergel, M. Carmo, and D. Fritz, “Status on Technologies for Hydrogen Production by Water Electrolysis,” </w:t>
      </w:r>
      <w:r w:rsidRPr="009974CC">
        <w:rPr>
          <w:rFonts w:ascii="Calibri" w:hAnsi="Calibri" w:cs="Calibri"/>
          <w:i/>
          <w:iCs/>
          <w:noProof/>
          <w:szCs w:val="24"/>
        </w:rPr>
        <w:t>Transit. to Renew. Energy Syst.</w:t>
      </w:r>
      <w:r w:rsidRPr="009974CC">
        <w:rPr>
          <w:rFonts w:ascii="Calibri" w:hAnsi="Calibri" w:cs="Calibri"/>
          <w:noProof/>
          <w:szCs w:val="24"/>
        </w:rPr>
        <w:t>, pp. 425–450, 2013, doi: 10.1002/9783527673872.ch22.</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[14]</w:t>
      </w:r>
      <w:r w:rsidRPr="009974CC">
        <w:rPr>
          <w:rFonts w:ascii="Calibri" w:hAnsi="Calibri" w:cs="Calibri"/>
          <w:noProof/>
          <w:szCs w:val="24"/>
        </w:rPr>
        <w:tab/>
        <w:t xml:space="preserve">A. Mazza, E. Bompard, and G. Chicco, “Applications of power to gas technologies in emerging electrical systems,” </w:t>
      </w:r>
      <w:r w:rsidRPr="009974CC">
        <w:rPr>
          <w:rFonts w:ascii="Calibri" w:hAnsi="Calibri" w:cs="Calibri"/>
          <w:i/>
          <w:iCs/>
          <w:noProof/>
          <w:szCs w:val="24"/>
        </w:rPr>
        <w:t>Renew. Sustain. Energy Rev.</w:t>
      </w:r>
      <w:r w:rsidRPr="009974CC">
        <w:rPr>
          <w:rFonts w:ascii="Calibri" w:hAnsi="Calibri" w:cs="Calibri"/>
          <w:noProof/>
          <w:szCs w:val="24"/>
        </w:rPr>
        <w:t>, vol. 92, no. April, pp. 794–806, 2018, doi: 10.1016/j.rser.2018.04.072.</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[15]</w:t>
      </w:r>
      <w:r w:rsidRPr="009974CC">
        <w:rPr>
          <w:rFonts w:ascii="Calibri" w:hAnsi="Calibri" w:cs="Calibri"/>
          <w:noProof/>
          <w:szCs w:val="24"/>
        </w:rPr>
        <w:tab/>
        <w:t xml:space="preserve">A. Buttler and H. Spliethoff, “Current status of water electrolysis for energy storage, grid </w:t>
      </w:r>
      <w:r w:rsidRPr="009974CC">
        <w:rPr>
          <w:rFonts w:ascii="Calibri" w:hAnsi="Calibri" w:cs="Calibri"/>
          <w:noProof/>
          <w:szCs w:val="24"/>
        </w:rPr>
        <w:lastRenderedPageBreak/>
        <w:t xml:space="preserve">balancing and sector coupling via power-to-gas and power-to-liquids: A review,” </w:t>
      </w:r>
      <w:r w:rsidRPr="009974CC">
        <w:rPr>
          <w:rFonts w:ascii="Calibri" w:hAnsi="Calibri" w:cs="Calibri"/>
          <w:i/>
          <w:iCs/>
          <w:noProof/>
          <w:szCs w:val="24"/>
        </w:rPr>
        <w:t>Renew. Sustain. Energy Rev.</w:t>
      </w:r>
      <w:r w:rsidRPr="009974CC">
        <w:rPr>
          <w:rFonts w:ascii="Calibri" w:hAnsi="Calibri" w:cs="Calibri"/>
          <w:noProof/>
          <w:szCs w:val="24"/>
        </w:rPr>
        <w:t>, vol. 82, no. September 2017, pp. 2440–2454, 2018, doi: 10.1016/j.rser.2017.09.003.</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[16]</w:t>
      </w:r>
      <w:r w:rsidRPr="009974CC">
        <w:rPr>
          <w:rFonts w:ascii="Calibri" w:hAnsi="Calibri" w:cs="Calibri"/>
          <w:noProof/>
          <w:szCs w:val="24"/>
        </w:rPr>
        <w:tab/>
        <w:t xml:space="preserve">M. Carmo, D. L. Fritz, J. Mergel, and D. Stolten, “A comprehensive review on PEM water electrolysis,” </w:t>
      </w:r>
      <w:r w:rsidRPr="009974CC">
        <w:rPr>
          <w:rFonts w:ascii="Calibri" w:hAnsi="Calibri" w:cs="Calibri"/>
          <w:i/>
          <w:iCs/>
          <w:noProof/>
          <w:szCs w:val="24"/>
        </w:rPr>
        <w:t>Int. J. Hydrogen Energy</w:t>
      </w:r>
      <w:r w:rsidRPr="009974CC">
        <w:rPr>
          <w:rFonts w:ascii="Calibri" w:hAnsi="Calibri" w:cs="Calibri"/>
          <w:noProof/>
          <w:szCs w:val="24"/>
        </w:rPr>
        <w:t>, vol. 38, no. 12, pp. 4901–4934, 2013, doi: 10.1016/j.ijhydene.2013.01.151.</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[17]</w:t>
      </w:r>
      <w:r w:rsidRPr="009974CC">
        <w:rPr>
          <w:rFonts w:ascii="Calibri" w:hAnsi="Calibri" w:cs="Calibri"/>
          <w:noProof/>
          <w:szCs w:val="24"/>
        </w:rPr>
        <w:tab/>
        <w:t xml:space="preserve">W. Dönitz and E. Erdle, “High-temperature electrolysis of water vapor-status of development and perspectives for application,” </w:t>
      </w:r>
      <w:r w:rsidRPr="009974CC">
        <w:rPr>
          <w:rFonts w:ascii="Calibri" w:hAnsi="Calibri" w:cs="Calibri"/>
          <w:i/>
          <w:iCs/>
          <w:noProof/>
          <w:szCs w:val="24"/>
        </w:rPr>
        <w:t>Int. J. Hydrogen Energy</w:t>
      </w:r>
      <w:r w:rsidRPr="009974CC">
        <w:rPr>
          <w:rFonts w:ascii="Calibri" w:hAnsi="Calibri" w:cs="Calibri"/>
          <w:noProof/>
          <w:szCs w:val="24"/>
        </w:rPr>
        <w:t>, vol. 10, no. 5, pp. 291–295, 1985, doi: 10.1016/0360-3199(85)90181-8.</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[18]</w:t>
      </w:r>
      <w:r w:rsidRPr="009974CC">
        <w:rPr>
          <w:rFonts w:ascii="Calibri" w:hAnsi="Calibri" w:cs="Calibri"/>
          <w:noProof/>
          <w:szCs w:val="24"/>
        </w:rPr>
        <w:tab/>
        <w:t xml:space="preserve">M. A. Laguna-Bercero, “Recent advances in high temperature electrolysis using solid oxide fuel cells: A review,” </w:t>
      </w:r>
      <w:r w:rsidRPr="009974CC">
        <w:rPr>
          <w:rFonts w:ascii="Calibri" w:hAnsi="Calibri" w:cs="Calibri"/>
          <w:i/>
          <w:iCs/>
          <w:noProof/>
          <w:szCs w:val="24"/>
        </w:rPr>
        <w:t>J. Power Sources</w:t>
      </w:r>
      <w:r w:rsidRPr="009974CC">
        <w:rPr>
          <w:rFonts w:ascii="Calibri" w:hAnsi="Calibri" w:cs="Calibri"/>
          <w:noProof/>
          <w:szCs w:val="24"/>
        </w:rPr>
        <w:t>, vol. 203, pp. 4–16, 2012, doi: 10.1016/j.jpowsour.2011.12.019.</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[19]</w:t>
      </w:r>
      <w:r w:rsidRPr="009974CC">
        <w:rPr>
          <w:rFonts w:ascii="Calibri" w:hAnsi="Calibri" w:cs="Calibri"/>
          <w:noProof/>
          <w:szCs w:val="24"/>
        </w:rPr>
        <w:tab/>
        <w:t>Zavarkó Máté (Corvinus University of Budapest), “Energetikai diszruptív technológiafejlesztés által indukált változásvezetési modellek,” Corvinus University of Budapest, 2021.</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[20]</w:t>
      </w:r>
      <w:r w:rsidRPr="009974CC">
        <w:rPr>
          <w:rFonts w:ascii="Calibri" w:hAnsi="Calibri" w:cs="Calibri"/>
          <w:noProof/>
          <w:szCs w:val="24"/>
        </w:rPr>
        <w:tab/>
        <w:t xml:space="preserve">S. Schiebahn, T. Grube, M. Robinius, V. Tietze, B. Kumar, and D. Stolten, “Power to gas: Technological overview, systems analysis and economic assessment for a case study in Germany,” </w:t>
      </w:r>
      <w:r w:rsidRPr="009974CC">
        <w:rPr>
          <w:rFonts w:ascii="Calibri" w:hAnsi="Calibri" w:cs="Calibri"/>
          <w:i/>
          <w:iCs/>
          <w:noProof/>
          <w:szCs w:val="24"/>
        </w:rPr>
        <w:t>Int. J. Hydrogen Energy</w:t>
      </w:r>
      <w:r w:rsidRPr="009974CC">
        <w:rPr>
          <w:rFonts w:ascii="Calibri" w:hAnsi="Calibri" w:cs="Calibri"/>
          <w:noProof/>
          <w:szCs w:val="24"/>
        </w:rPr>
        <w:t>, vol. 40, no. 12, pp. 4285–4294, 2015, doi: 10.1016/j.ijhydene.2015.01.123.</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[21]</w:t>
      </w:r>
      <w:r w:rsidRPr="009974CC">
        <w:rPr>
          <w:rFonts w:ascii="Calibri" w:hAnsi="Calibri" w:cs="Calibri"/>
          <w:noProof/>
          <w:szCs w:val="24"/>
        </w:rPr>
        <w:tab/>
        <w:t xml:space="preserve">H. Blanco and A. Faaij, “A review at the role of storage in energy systems with a focus on Power to Gas and long-term storage,” </w:t>
      </w:r>
      <w:r w:rsidRPr="009974CC">
        <w:rPr>
          <w:rFonts w:ascii="Calibri" w:hAnsi="Calibri" w:cs="Calibri"/>
          <w:i/>
          <w:iCs/>
          <w:noProof/>
          <w:szCs w:val="24"/>
        </w:rPr>
        <w:t>Renew. Sustain. Energy Rev.</w:t>
      </w:r>
      <w:r w:rsidRPr="009974CC">
        <w:rPr>
          <w:rFonts w:ascii="Calibri" w:hAnsi="Calibri" w:cs="Calibri"/>
          <w:noProof/>
          <w:szCs w:val="24"/>
        </w:rPr>
        <w:t>, vol. 81, no. August 2017, pp. 1049–1086, 2018, doi: 10.1016/j.rser.2017.07.062.</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[22]</w:t>
      </w:r>
      <w:r w:rsidRPr="009974CC">
        <w:rPr>
          <w:rFonts w:ascii="Calibri" w:hAnsi="Calibri" w:cs="Calibri"/>
          <w:noProof/>
          <w:szCs w:val="24"/>
        </w:rPr>
        <w:tab/>
        <w:t xml:space="preserve">S. Rönsch </w:t>
      </w:r>
      <w:r w:rsidRPr="009974CC">
        <w:rPr>
          <w:rFonts w:ascii="Calibri" w:hAnsi="Calibri" w:cs="Calibri"/>
          <w:i/>
          <w:iCs/>
          <w:noProof/>
          <w:szCs w:val="24"/>
        </w:rPr>
        <w:t>et al.</w:t>
      </w:r>
      <w:r w:rsidRPr="009974CC">
        <w:rPr>
          <w:rFonts w:ascii="Calibri" w:hAnsi="Calibri" w:cs="Calibri"/>
          <w:noProof/>
          <w:szCs w:val="24"/>
        </w:rPr>
        <w:t xml:space="preserve">, “Review on methanation - From fundamentals to current projects,” </w:t>
      </w:r>
      <w:r w:rsidRPr="009974CC">
        <w:rPr>
          <w:rFonts w:ascii="Calibri" w:hAnsi="Calibri" w:cs="Calibri"/>
          <w:i/>
          <w:iCs/>
          <w:noProof/>
          <w:szCs w:val="24"/>
        </w:rPr>
        <w:t>Fuel</w:t>
      </w:r>
      <w:r w:rsidRPr="009974CC">
        <w:rPr>
          <w:rFonts w:ascii="Calibri" w:hAnsi="Calibri" w:cs="Calibri"/>
          <w:noProof/>
          <w:szCs w:val="24"/>
        </w:rPr>
        <w:t>, vol. 166, pp. 276–296, 2016, doi: 10.1016/j.fuel.2015.10.111.</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[23]</w:t>
      </w:r>
      <w:r w:rsidRPr="009974CC">
        <w:rPr>
          <w:rFonts w:ascii="Calibri" w:hAnsi="Calibri" w:cs="Calibri"/>
          <w:noProof/>
          <w:szCs w:val="24"/>
        </w:rPr>
        <w:tab/>
        <w:t xml:space="preserve">M. A. Vannice, “The Catalytic Synthesis of Hydrocarbons from Carbon Monoxide and Hydrogen,” </w:t>
      </w:r>
      <w:r w:rsidRPr="009974CC">
        <w:rPr>
          <w:rFonts w:ascii="Calibri" w:hAnsi="Calibri" w:cs="Calibri"/>
          <w:i/>
          <w:iCs/>
          <w:noProof/>
          <w:szCs w:val="24"/>
        </w:rPr>
        <w:t>Catal. Rev.</w:t>
      </w:r>
      <w:r w:rsidRPr="009974CC">
        <w:rPr>
          <w:rFonts w:ascii="Calibri" w:hAnsi="Calibri" w:cs="Calibri"/>
          <w:noProof/>
          <w:szCs w:val="24"/>
        </w:rPr>
        <w:t>, vol. 14, no. 1, pp. 153–191, 1976, doi: 10.1080/03602457608073410.</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[24]</w:t>
      </w:r>
      <w:r w:rsidRPr="009974CC">
        <w:rPr>
          <w:rFonts w:ascii="Calibri" w:hAnsi="Calibri" w:cs="Calibri"/>
          <w:noProof/>
          <w:szCs w:val="24"/>
        </w:rPr>
        <w:tab/>
        <w:t xml:space="preserve">I. Kiendl, M. Klemm, A. Clemens, and A. Herrman, “Dilute gas methanation of synthesis gas from biomass gasification,” </w:t>
      </w:r>
      <w:r w:rsidRPr="009974CC">
        <w:rPr>
          <w:rFonts w:ascii="Calibri" w:hAnsi="Calibri" w:cs="Calibri"/>
          <w:i/>
          <w:iCs/>
          <w:noProof/>
          <w:szCs w:val="24"/>
        </w:rPr>
        <w:t>Fuel</w:t>
      </w:r>
      <w:r w:rsidRPr="009974CC">
        <w:rPr>
          <w:rFonts w:ascii="Calibri" w:hAnsi="Calibri" w:cs="Calibri"/>
          <w:noProof/>
          <w:szCs w:val="24"/>
        </w:rPr>
        <w:t>, vol. 123, pp. 211–217, 2014, doi: 10.1016/j.fuel.2014.01.036.</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[25]</w:t>
      </w:r>
      <w:r w:rsidRPr="009974CC">
        <w:rPr>
          <w:rFonts w:ascii="Calibri" w:hAnsi="Calibri" w:cs="Calibri"/>
          <w:noProof/>
          <w:szCs w:val="24"/>
        </w:rPr>
        <w:tab/>
        <w:t xml:space="preserve">J. Kopyscinski, T. J. Schildhauer, and S. M. A. Biollaz, “Methanation in a fluidized bed reactor with high initial CO partial pressure: Part I-Experimental investigation of hydrodynamics, mass transfer effects, and carbon deposition,” </w:t>
      </w:r>
      <w:r w:rsidRPr="009974CC">
        <w:rPr>
          <w:rFonts w:ascii="Calibri" w:hAnsi="Calibri" w:cs="Calibri"/>
          <w:i/>
          <w:iCs/>
          <w:noProof/>
          <w:szCs w:val="24"/>
        </w:rPr>
        <w:t>Chem. Eng. Sci.</w:t>
      </w:r>
      <w:r w:rsidRPr="009974CC">
        <w:rPr>
          <w:rFonts w:ascii="Calibri" w:hAnsi="Calibri" w:cs="Calibri"/>
          <w:noProof/>
          <w:szCs w:val="24"/>
        </w:rPr>
        <w:t>, vol. 66, no. 5, pp. 924–934, 2011, doi: 10.1016/j.ces.2010.11.042.</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[26]</w:t>
      </w:r>
      <w:r w:rsidRPr="009974CC">
        <w:rPr>
          <w:rFonts w:ascii="Calibri" w:hAnsi="Calibri" w:cs="Calibri"/>
          <w:noProof/>
          <w:szCs w:val="24"/>
        </w:rPr>
        <w:tab/>
        <w:t xml:space="preserve">C. H. Bartholomew, “Mechanisms of catalyst deactivation,” </w:t>
      </w:r>
      <w:r w:rsidRPr="009974CC">
        <w:rPr>
          <w:rFonts w:ascii="Calibri" w:hAnsi="Calibri" w:cs="Calibri"/>
          <w:i/>
          <w:iCs/>
          <w:noProof/>
          <w:szCs w:val="24"/>
        </w:rPr>
        <w:t>Appl. Catal. A Gen.</w:t>
      </w:r>
      <w:r w:rsidRPr="009974CC">
        <w:rPr>
          <w:rFonts w:ascii="Calibri" w:hAnsi="Calibri" w:cs="Calibri"/>
          <w:noProof/>
          <w:szCs w:val="24"/>
        </w:rPr>
        <w:t>, vol. 212, no. 1–2, pp. 17–60, 2001, doi: 10.1016/S0926-860X(00)00843-7.</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[27]</w:t>
      </w:r>
      <w:r w:rsidRPr="009974CC">
        <w:rPr>
          <w:rFonts w:ascii="Calibri" w:hAnsi="Calibri" w:cs="Calibri"/>
          <w:noProof/>
          <w:szCs w:val="24"/>
        </w:rPr>
        <w:tab/>
        <w:t xml:space="preserve">J. Lefebvre, M. Götz, S. Bajohr, R. Reimert, and T. Kolb, “Improvement of three-phase methanation reactor performance for steady-state and transient operation,” </w:t>
      </w:r>
      <w:r w:rsidRPr="009974CC">
        <w:rPr>
          <w:rFonts w:ascii="Calibri" w:hAnsi="Calibri" w:cs="Calibri"/>
          <w:i/>
          <w:iCs/>
          <w:noProof/>
          <w:szCs w:val="24"/>
        </w:rPr>
        <w:t>Fuel Process. Technol.</w:t>
      </w:r>
      <w:r w:rsidRPr="009974CC">
        <w:rPr>
          <w:rFonts w:ascii="Calibri" w:hAnsi="Calibri" w:cs="Calibri"/>
          <w:noProof/>
          <w:szCs w:val="24"/>
        </w:rPr>
        <w:t>, vol. 132, pp. 83–90, 2015, doi: 10.1016/j.fuproc.2014.10.040.</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[28]</w:t>
      </w:r>
      <w:r w:rsidRPr="009974CC">
        <w:rPr>
          <w:rFonts w:ascii="Calibri" w:hAnsi="Calibri" w:cs="Calibri"/>
          <w:noProof/>
          <w:szCs w:val="24"/>
        </w:rPr>
        <w:tab/>
        <w:t xml:space="preserve">C. Janke, M. S. Duyar, M. Hoskins, and R. Farrauto, “Catalytic and adsorption studies for the hydrogenation of CO2 to methane,” </w:t>
      </w:r>
      <w:r w:rsidRPr="009974CC">
        <w:rPr>
          <w:rFonts w:ascii="Calibri" w:hAnsi="Calibri" w:cs="Calibri"/>
          <w:i/>
          <w:iCs/>
          <w:noProof/>
          <w:szCs w:val="24"/>
        </w:rPr>
        <w:t>Appl. Catal. B Environ.</w:t>
      </w:r>
      <w:r w:rsidRPr="009974CC">
        <w:rPr>
          <w:rFonts w:ascii="Calibri" w:hAnsi="Calibri" w:cs="Calibri"/>
          <w:noProof/>
          <w:szCs w:val="24"/>
        </w:rPr>
        <w:t>, vol. 152–153, no. 1, pp. 184–191, 2014, doi: 10.1016/j.apcatb.2014.01.016.</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[29]</w:t>
      </w:r>
      <w:r w:rsidRPr="009974CC">
        <w:rPr>
          <w:rFonts w:ascii="Calibri" w:hAnsi="Calibri" w:cs="Calibri"/>
          <w:noProof/>
          <w:szCs w:val="24"/>
        </w:rPr>
        <w:tab/>
        <w:t xml:space="preserve">Z. Liu, B. Chu, X. Zhai, Y. Jin, and Y. Cheng, “Total methanation of syngas to synthetic natural gas over Ni catalyst in a micro-channel reactor,” </w:t>
      </w:r>
      <w:r w:rsidRPr="009974CC">
        <w:rPr>
          <w:rFonts w:ascii="Calibri" w:hAnsi="Calibri" w:cs="Calibri"/>
          <w:i/>
          <w:iCs/>
          <w:noProof/>
          <w:szCs w:val="24"/>
        </w:rPr>
        <w:t>Fuel</w:t>
      </w:r>
      <w:r w:rsidRPr="009974CC">
        <w:rPr>
          <w:rFonts w:ascii="Calibri" w:hAnsi="Calibri" w:cs="Calibri"/>
          <w:noProof/>
          <w:szCs w:val="24"/>
        </w:rPr>
        <w:t xml:space="preserve">, vol. 95, pp. 599–605, 2012, doi: </w:t>
      </w:r>
      <w:r w:rsidRPr="009974CC">
        <w:rPr>
          <w:rFonts w:ascii="Calibri" w:hAnsi="Calibri" w:cs="Calibri"/>
          <w:noProof/>
          <w:szCs w:val="24"/>
        </w:rPr>
        <w:lastRenderedPageBreak/>
        <w:t>10.1016/j.fuel.2011.12.045.</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[30]</w:t>
      </w:r>
      <w:r w:rsidRPr="009974CC">
        <w:rPr>
          <w:rFonts w:ascii="Calibri" w:hAnsi="Calibri" w:cs="Calibri"/>
          <w:noProof/>
          <w:szCs w:val="24"/>
        </w:rPr>
        <w:tab/>
        <w:t xml:space="preserve">K. P. Brooks, J. Hu, H. Zhu, and R. J. Kee, “Methanation of carbon dioxide by hydrogen reduction using the Sabatier process in microchannel reactors,” </w:t>
      </w:r>
      <w:r w:rsidRPr="009974CC">
        <w:rPr>
          <w:rFonts w:ascii="Calibri" w:hAnsi="Calibri" w:cs="Calibri"/>
          <w:i/>
          <w:iCs/>
          <w:noProof/>
          <w:szCs w:val="24"/>
        </w:rPr>
        <w:t>Chem. Eng. Sci.</w:t>
      </w:r>
      <w:r w:rsidRPr="009974CC">
        <w:rPr>
          <w:rFonts w:ascii="Calibri" w:hAnsi="Calibri" w:cs="Calibri"/>
          <w:noProof/>
          <w:szCs w:val="24"/>
        </w:rPr>
        <w:t>, vol. 62, no. 4, pp. 1161–1170, 2007, doi: 10.1016/j.ces.2006.11.020.</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[31]</w:t>
      </w:r>
      <w:r w:rsidRPr="009974CC">
        <w:rPr>
          <w:rFonts w:ascii="Calibri" w:hAnsi="Calibri" w:cs="Calibri"/>
          <w:noProof/>
          <w:szCs w:val="24"/>
        </w:rPr>
        <w:tab/>
        <w:t xml:space="preserve">M. Szuhaj, Z. Bagi, and K. Kovács L., “A „Power-to-Gas” és kapcsolódó biogáz tisztítási biotechnológiai eljárások,” </w:t>
      </w:r>
      <w:r w:rsidRPr="009974CC">
        <w:rPr>
          <w:rFonts w:ascii="Calibri" w:hAnsi="Calibri" w:cs="Calibri"/>
          <w:i/>
          <w:iCs/>
          <w:noProof/>
          <w:szCs w:val="24"/>
        </w:rPr>
        <w:t>ENERGIAGAZDÁLKODÁS</w:t>
      </w:r>
      <w:r w:rsidRPr="009974CC">
        <w:rPr>
          <w:rFonts w:ascii="Calibri" w:hAnsi="Calibri" w:cs="Calibri"/>
          <w:noProof/>
          <w:szCs w:val="24"/>
        </w:rPr>
        <w:t>, vol. 60, no. special issue, pp. 13–16, 2019.</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[32]</w:t>
      </w:r>
      <w:r w:rsidRPr="009974CC">
        <w:rPr>
          <w:rFonts w:ascii="Calibri" w:hAnsi="Calibri" w:cs="Calibri"/>
          <w:noProof/>
          <w:szCs w:val="24"/>
        </w:rPr>
        <w:tab/>
        <w:t xml:space="preserve">I. Angelidaki </w:t>
      </w:r>
      <w:r w:rsidRPr="009974CC">
        <w:rPr>
          <w:rFonts w:ascii="Calibri" w:hAnsi="Calibri" w:cs="Calibri"/>
          <w:i/>
          <w:iCs/>
          <w:noProof/>
          <w:szCs w:val="24"/>
        </w:rPr>
        <w:t>et al.</w:t>
      </w:r>
      <w:r w:rsidRPr="009974CC">
        <w:rPr>
          <w:rFonts w:ascii="Calibri" w:hAnsi="Calibri" w:cs="Calibri"/>
          <w:noProof/>
          <w:szCs w:val="24"/>
        </w:rPr>
        <w:t xml:space="preserve">, “Biogas upgrading and utilization: Current status and perspectives,” </w:t>
      </w:r>
      <w:r w:rsidRPr="009974CC">
        <w:rPr>
          <w:rFonts w:ascii="Calibri" w:hAnsi="Calibri" w:cs="Calibri"/>
          <w:i/>
          <w:iCs/>
          <w:noProof/>
          <w:szCs w:val="24"/>
        </w:rPr>
        <w:t>Biotechnol. Adv.</w:t>
      </w:r>
      <w:r w:rsidRPr="009974CC">
        <w:rPr>
          <w:rFonts w:ascii="Calibri" w:hAnsi="Calibri" w:cs="Calibri"/>
          <w:noProof/>
          <w:szCs w:val="24"/>
        </w:rPr>
        <w:t>, vol. 36, no. 2, pp. 452–466, 2018, doi: 10.1016/j.biotechadv.2018.01.011.</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[33]</w:t>
      </w:r>
      <w:r w:rsidRPr="009974CC">
        <w:rPr>
          <w:rFonts w:ascii="Calibri" w:hAnsi="Calibri" w:cs="Calibri"/>
          <w:noProof/>
          <w:szCs w:val="24"/>
        </w:rPr>
        <w:tab/>
        <w:t xml:space="preserve">R. Muñoz, L. Meier, I. Diaz, and D. Jeison, “A review on the state-of-the-art of physical/chemical and biological technologies for biogas upgrading,” </w:t>
      </w:r>
      <w:r w:rsidRPr="009974CC">
        <w:rPr>
          <w:rFonts w:ascii="Calibri" w:hAnsi="Calibri" w:cs="Calibri"/>
          <w:i/>
          <w:iCs/>
          <w:noProof/>
          <w:szCs w:val="24"/>
        </w:rPr>
        <w:t>Rev. Environ. Sci. Biotechnol.</w:t>
      </w:r>
      <w:r w:rsidRPr="009974CC">
        <w:rPr>
          <w:rFonts w:ascii="Calibri" w:hAnsi="Calibri" w:cs="Calibri"/>
          <w:noProof/>
          <w:szCs w:val="24"/>
        </w:rPr>
        <w:t>, vol. 14, no. 4, pp. 727–759, 2015, doi: 10.1007/s11157-015-9379-1.</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[34]</w:t>
      </w:r>
      <w:r w:rsidRPr="009974CC">
        <w:rPr>
          <w:rFonts w:ascii="Calibri" w:hAnsi="Calibri" w:cs="Calibri"/>
          <w:noProof/>
          <w:szCs w:val="24"/>
        </w:rPr>
        <w:tab/>
        <w:t xml:space="preserve">K. Kummer and A. R. Imre, “Seasonal and multi-seasonal energy storage by power-to-methane technology,” </w:t>
      </w:r>
      <w:r w:rsidRPr="009974CC">
        <w:rPr>
          <w:rFonts w:ascii="Calibri" w:hAnsi="Calibri" w:cs="Calibri"/>
          <w:i/>
          <w:iCs/>
          <w:noProof/>
          <w:szCs w:val="24"/>
        </w:rPr>
        <w:t>Energies</w:t>
      </w:r>
      <w:r w:rsidRPr="009974CC">
        <w:rPr>
          <w:rFonts w:ascii="Calibri" w:hAnsi="Calibri" w:cs="Calibri"/>
          <w:noProof/>
          <w:szCs w:val="24"/>
        </w:rPr>
        <w:t>, vol. 14, no. 11, 2021, doi: 10.3390/en14113265.</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[35]</w:t>
      </w:r>
      <w:r w:rsidRPr="009974CC">
        <w:rPr>
          <w:rFonts w:ascii="Calibri" w:hAnsi="Calibri" w:cs="Calibri"/>
          <w:noProof/>
          <w:szCs w:val="24"/>
        </w:rPr>
        <w:tab/>
        <w:t xml:space="preserve">A. R. Imre and K. Kummer, “Szezonális és hosszútávú energiatárolási lehetőségek,” </w:t>
      </w:r>
      <w:r w:rsidRPr="009974CC">
        <w:rPr>
          <w:rFonts w:ascii="Calibri" w:hAnsi="Calibri" w:cs="Calibri"/>
          <w:i/>
          <w:iCs/>
          <w:noProof/>
          <w:szCs w:val="24"/>
        </w:rPr>
        <w:t>ENERGIAGAZDÁLKODÁS</w:t>
      </w:r>
      <w:r w:rsidRPr="009974CC">
        <w:rPr>
          <w:rFonts w:ascii="Calibri" w:hAnsi="Calibri" w:cs="Calibri"/>
          <w:noProof/>
          <w:szCs w:val="24"/>
        </w:rPr>
        <w:t>, vol. 62, no. 6, pp. 2–9, 2021.</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[36]</w:t>
      </w:r>
      <w:r w:rsidRPr="009974CC">
        <w:rPr>
          <w:rFonts w:ascii="Calibri" w:hAnsi="Calibri" w:cs="Calibri"/>
          <w:noProof/>
          <w:szCs w:val="24"/>
        </w:rPr>
        <w:tab/>
        <w:t xml:space="preserve">S. Marami Milani, R. Khoshbakhti Saray, and M. Najafi, “Exergo-economic analysis of different power-cycle configurations driven by heat recovery of a gas engine,” </w:t>
      </w:r>
      <w:r w:rsidRPr="009974CC">
        <w:rPr>
          <w:rFonts w:ascii="Calibri" w:hAnsi="Calibri" w:cs="Calibri"/>
          <w:i/>
          <w:iCs/>
          <w:noProof/>
          <w:szCs w:val="24"/>
        </w:rPr>
        <w:t>Energy Convers. Manag.</w:t>
      </w:r>
      <w:r w:rsidRPr="009974CC">
        <w:rPr>
          <w:rFonts w:ascii="Calibri" w:hAnsi="Calibri" w:cs="Calibri"/>
          <w:noProof/>
          <w:szCs w:val="24"/>
        </w:rPr>
        <w:t>, vol. 186, no. September 2018, pp. 103–119, 2019, doi: 10.1016/j.enconman.2019.02.030.</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[37]</w:t>
      </w:r>
      <w:r w:rsidRPr="009974CC">
        <w:rPr>
          <w:rFonts w:ascii="Calibri" w:hAnsi="Calibri" w:cs="Calibri"/>
          <w:noProof/>
          <w:szCs w:val="24"/>
        </w:rPr>
        <w:tab/>
        <w:t xml:space="preserve">R. Kustán, A. R. Imre, and A. Groniewsky, “The effect of internal efficiency of expander on the working fluid selection,” in </w:t>
      </w:r>
      <w:r w:rsidRPr="009974CC">
        <w:rPr>
          <w:rFonts w:ascii="Calibri" w:hAnsi="Calibri" w:cs="Calibri"/>
          <w:i/>
          <w:iCs/>
          <w:noProof/>
          <w:szCs w:val="24"/>
        </w:rPr>
        <w:t>IIR International Rankine 2020 Conference -Heating, Cooling and Power Generation - Refrigeration Science and Technology</w:t>
      </w:r>
      <w:r w:rsidRPr="009974CC">
        <w:rPr>
          <w:rFonts w:ascii="Calibri" w:hAnsi="Calibri" w:cs="Calibri"/>
          <w:noProof/>
          <w:szCs w:val="24"/>
        </w:rPr>
        <w:t>, 2020, vol. 2020-July, no. July, pp. 351–357, doi: 10.18462/iir.rankine.2020.1170.</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[38]</w:t>
      </w:r>
      <w:r w:rsidRPr="009974CC">
        <w:rPr>
          <w:rFonts w:ascii="Calibri" w:hAnsi="Calibri" w:cs="Calibri"/>
          <w:noProof/>
          <w:szCs w:val="24"/>
        </w:rPr>
        <w:tab/>
        <w:t xml:space="preserve">A. R. Imre and A. Groniewsky, “Various Ways of Adiabatic Expansion in Organic Rankine Cycle (ORC) and in Trilateral Flash Cycle (TFC),” </w:t>
      </w:r>
      <w:r w:rsidRPr="009974CC">
        <w:rPr>
          <w:rFonts w:ascii="Calibri" w:hAnsi="Calibri" w:cs="Calibri"/>
          <w:i/>
          <w:iCs/>
          <w:noProof/>
          <w:szCs w:val="24"/>
        </w:rPr>
        <w:t>Zeitschrift fur Phys. Chemie</w:t>
      </w:r>
      <w:r w:rsidRPr="009974CC">
        <w:rPr>
          <w:rFonts w:ascii="Calibri" w:hAnsi="Calibri" w:cs="Calibri"/>
          <w:noProof/>
          <w:szCs w:val="24"/>
        </w:rPr>
        <w:t>, vol. 233, no. 4, pp. 577–594, 2019, doi: 10.1515/zpch-2018-1292.</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szCs w:val="24"/>
        </w:rPr>
      </w:pPr>
      <w:r w:rsidRPr="009974CC">
        <w:rPr>
          <w:rFonts w:ascii="Calibri" w:hAnsi="Calibri" w:cs="Calibri"/>
          <w:noProof/>
          <w:szCs w:val="24"/>
        </w:rPr>
        <w:t>[39]</w:t>
      </w:r>
      <w:r w:rsidRPr="009974CC">
        <w:rPr>
          <w:rFonts w:ascii="Calibri" w:hAnsi="Calibri" w:cs="Calibri"/>
          <w:noProof/>
          <w:szCs w:val="24"/>
        </w:rPr>
        <w:tab/>
        <w:t>M. Kluge and D. Bach, “WP3 – Biogas valorization and efficient energy management (Technical and economic analysis of biological methanation),” 2018.</w:t>
      </w:r>
    </w:p>
    <w:p w:rsidR="009974CC" w:rsidRPr="009974CC" w:rsidRDefault="009974CC" w:rsidP="009974CC">
      <w:pPr>
        <w:widowControl w:val="0"/>
        <w:autoSpaceDE w:val="0"/>
        <w:autoSpaceDN w:val="0"/>
        <w:adjustRightInd w:val="0"/>
        <w:spacing w:line="240" w:lineRule="auto"/>
        <w:ind w:left="640" w:hanging="640"/>
        <w:rPr>
          <w:rFonts w:ascii="Calibri" w:hAnsi="Calibri" w:cs="Calibri"/>
          <w:noProof/>
        </w:rPr>
      </w:pPr>
      <w:r w:rsidRPr="009974CC">
        <w:rPr>
          <w:rFonts w:ascii="Calibri" w:hAnsi="Calibri" w:cs="Calibri"/>
          <w:noProof/>
          <w:szCs w:val="24"/>
        </w:rPr>
        <w:t>[40]</w:t>
      </w:r>
      <w:r w:rsidRPr="009974CC">
        <w:rPr>
          <w:rFonts w:ascii="Calibri" w:hAnsi="Calibri" w:cs="Calibri"/>
          <w:noProof/>
          <w:szCs w:val="24"/>
        </w:rPr>
        <w:tab/>
        <w:t xml:space="preserve">Y. Zhao, G. Liu, L. Li, Q. Yang, B. Tang, and Y. Liu, “Expansion devices for organic Rankine cycle (ORC) using in low temperature heat recovery: A review,” </w:t>
      </w:r>
      <w:r w:rsidRPr="009974CC">
        <w:rPr>
          <w:rFonts w:ascii="Calibri" w:hAnsi="Calibri" w:cs="Calibri"/>
          <w:i/>
          <w:iCs/>
          <w:noProof/>
          <w:szCs w:val="24"/>
        </w:rPr>
        <w:t>Energy Convers. Manag.</w:t>
      </w:r>
      <w:r w:rsidRPr="009974CC">
        <w:rPr>
          <w:rFonts w:ascii="Calibri" w:hAnsi="Calibri" w:cs="Calibri"/>
          <w:noProof/>
          <w:szCs w:val="24"/>
        </w:rPr>
        <w:t>, vol. 199, no. August, p. 111944, 2019, doi: 10.1016/j.enconman.2019.111944.</w:t>
      </w:r>
    </w:p>
    <w:p w:rsidR="0094586D" w:rsidRPr="00F128C8" w:rsidRDefault="00180071" w:rsidP="009974CC">
      <w:pPr>
        <w:widowControl w:val="0"/>
        <w:autoSpaceDE w:val="0"/>
        <w:autoSpaceDN w:val="0"/>
        <w:adjustRightInd w:val="0"/>
        <w:spacing w:line="240" w:lineRule="auto"/>
        <w:ind w:left="640" w:hanging="640"/>
      </w:pPr>
      <w:r>
        <w:fldChar w:fldCharType="end"/>
      </w:r>
    </w:p>
    <w:sectPr w:rsidR="0094586D" w:rsidRPr="00F128C8">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7F" w:rsidRDefault="006B407F" w:rsidP="00930B3E">
      <w:pPr>
        <w:spacing w:after="0" w:line="240" w:lineRule="auto"/>
      </w:pPr>
      <w:r>
        <w:separator/>
      </w:r>
    </w:p>
  </w:endnote>
  <w:endnote w:type="continuationSeparator" w:id="0">
    <w:p w:rsidR="006B407F" w:rsidRDefault="006B407F" w:rsidP="0093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03104"/>
      <w:docPartObj>
        <w:docPartGallery w:val="Page Numbers (Bottom of Page)"/>
        <w:docPartUnique/>
      </w:docPartObj>
    </w:sdtPr>
    <w:sdtEndPr>
      <w:rPr>
        <w:noProof/>
      </w:rPr>
    </w:sdtEndPr>
    <w:sdtContent>
      <w:p w:rsidR="00930B3E" w:rsidRDefault="00930B3E">
        <w:pPr>
          <w:pStyle w:val="Footer"/>
          <w:jc w:val="center"/>
        </w:pPr>
        <w:r>
          <w:fldChar w:fldCharType="begin"/>
        </w:r>
        <w:r>
          <w:instrText xml:space="preserve"> PAGE   \* MERGEFORMAT </w:instrText>
        </w:r>
        <w:r>
          <w:fldChar w:fldCharType="separate"/>
        </w:r>
        <w:r w:rsidR="005930C3">
          <w:rPr>
            <w:noProof/>
          </w:rPr>
          <w:t>19</w:t>
        </w:r>
        <w:r>
          <w:rPr>
            <w:noProof/>
          </w:rPr>
          <w:fldChar w:fldCharType="end"/>
        </w:r>
      </w:p>
    </w:sdtContent>
  </w:sdt>
  <w:p w:rsidR="00930B3E" w:rsidRDefault="00930B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7F" w:rsidRDefault="006B407F" w:rsidP="00930B3E">
      <w:pPr>
        <w:spacing w:after="0" w:line="240" w:lineRule="auto"/>
      </w:pPr>
      <w:r>
        <w:separator/>
      </w:r>
    </w:p>
  </w:footnote>
  <w:footnote w:type="continuationSeparator" w:id="0">
    <w:p w:rsidR="006B407F" w:rsidRDefault="006B407F" w:rsidP="00930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A46F0"/>
    <w:multiLevelType w:val="hybridMultilevel"/>
    <w:tmpl w:val="5EE29A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8751D81"/>
    <w:multiLevelType w:val="hybridMultilevel"/>
    <w:tmpl w:val="4F60A8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0sTQ2tzCxtDQ2MjZR0lEKTi0uzszPAykwMq0FAJRTTdstAAAA"/>
  </w:docVars>
  <w:rsids>
    <w:rsidRoot w:val="00643C34"/>
    <w:rsid w:val="00001165"/>
    <w:rsid w:val="00004FE9"/>
    <w:rsid w:val="00005EF5"/>
    <w:rsid w:val="00006783"/>
    <w:rsid w:val="00006DA9"/>
    <w:rsid w:val="000238A3"/>
    <w:rsid w:val="00033951"/>
    <w:rsid w:val="00034B27"/>
    <w:rsid w:val="00035290"/>
    <w:rsid w:val="00035C56"/>
    <w:rsid w:val="00043EC3"/>
    <w:rsid w:val="00046D32"/>
    <w:rsid w:val="00053018"/>
    <w:rsid w:val="000556B4"/>
    <w:rsid w:val="0005717F"/>
    <w:rsid w:val="00057B6D"/>
    <w:rsid w:val="000667F5"/>
    <w:rsid w:val="000702A1"/>
    <w:rsid w:val="000702FC"/>
    <w:rsid w:val="000707EE"/>
    <w:rsid w:val="00071780"/>
    <w:rsid w:val="00075FE7"/>
    <w:rsid w:val="000817D5"/>
    <w:rsid w:val="000835FC"/>
    <w:rsid w:val="0008758C"/>
    <w:rsid w:val="000931BF"/>
    <w:rsid w:val="000978A3"/>
    <w:rsid w:val="000B7CCD"/>
    <w:rsid w:val="000C5E14"/>
    <w:rsid w:val="000C796E"/>
    <w:rsid w:val="000D5C2C"/>
    <w:rsid w:val="000D7C3E"/>
    <w:rsid w:val="000E7828"/>
    <w:rsid w:val="000F3716"/>
    <w:rsid w:val="000F6FEA"/>
    <w:rsid w:val="00101745"/>
    <w:rsid w:val="001033EA"/>
    <w:rsid w:val="00107DA7"/>
    <w:rsid w:val="00112B99"/>
    <w:rsid w:val="001150D7"/>
    <w:rsid w:val="00116E5D"/>
    <w:rsid w:val="0012071D"/>
    <w:rsid w:val="00127303"/>
    <w:rsid w:val="00152AD2"/>
    <w:rsid w:val="00154365"/>
    <w:rsid w:val="00154A43"/>
    <w:rsid w:val="00154ABB"/>
    <w:rsid w:val="001574C9"/>
    <w:rsid w:val="001614B2"/>
    <w:rsid w:val="001737EA"/>
    <w:rsid w:val="00180071"/>
    <w:rsid w:val="001805EE"/>
    <w:rsid w:val="0018122F"/>
    <w:rsid w:val="0018424D"/>
    <w:rsid w:val="00185EC0"/>
    <w:rsid w:val="001A232E"/>
    <w:rsid w:val="001A56BC"/>
    <w:rsid w:val="001A71BE"/>
    <w:rsid w:val="001B08C8"/>
    <w:rsid w:val="001B2FC7"/>
    <w:rsid w:val="001B3074"/>
    <w:rsid w:val="001C0974"/>
    <w:rsid w:val="001C3A95"/>
    <w:rsid w:val="001D58F6"/>
    <w:rsid w:val="001E0714"/>
    <w:rsid w:val="001E5561"/>
    <w:rsid w:val="001F3439"/>
    <w:rsid w:val="001F7A33"/>
    <w:rsid w:val="002056BE"/>
    <w:rsid w:val="002079EE"/>
    <w:rsid w:val="00213C38"/>
    <w:rsid w:val="002146EA"/>
    <w:rsid w:val="002323C9"/>
    <w:rsid w:val="00251406"/>
    <w:rsid w:val="00251FFD"/>
    <w:rsid w:val="00253B41"/>
    <w:rsid w:val="00255B4F"/>
    <w:rsid w:val="0026138A"/>
    <w:rsid w:val="00261726"/>
    <w:rsid w:val="00267C5C"/>
    <w:rsid w:val="00271AC1"/>
    <w:rsid w:val="00271F07"/>
    <w:rsid w:val="00274C92"/>
    <w:rsid w:val="0027624D"/>
    <w:rsid w:val="002814E4"/>
    <w:rsid w:val="00284109"/>
    <w:rsid w:val="00285140"/>
    <w:rsid w:val="002864A5"/>
    <w:rsid w:val="002923D6"/>
    <w:rsid w:val="00293911"/>
    <w:rsid w:val="00295265"/>
    <w:rsid w:val="002B07B7"/>
    <w:rsid w:val="002B2A4C"/>
    <w:rsid w:val="002B3BE9"/>
    <w:rsid w:val="002C0A90"/>
    <w:rsid w:val="002D265D"/>
    <w:rsid w:val="002D2668"/>
    <w:rsid w:val="002E7852"/>
    <w:rsid w:val="002E79FA"/>
    <w:rsid w:val="002F0FCD"/>
    <w:rsid w:val="002F2295"/>
    <w:rsid w:val="002F2BCB"/>
    <w:rsid w:val="002F3892"/>
    <w:rsid w:val="002F559C"/>
    <w:rsid w:val="002F71DA"/>
    <w:rsid w:val="002F7843"/>
    <w:rsid w:val="0030043B"/>
    <w:rsid w:val="00300B1C"/>
    <w:rsid w:val="003019C1"/>
    <w:rsid w:val="003076B1"/>
    <w:rsid w:val="00310074"/>
    <w:rsid w:val="003115B6"/>
    <w:rsid w:val="00327657"/>
    <w:rsid w:val="00333F46"/>
    <w:rsid w:val="00343DB7"/>
    <w:rsid w:val="00344FEF"/>
    <w:rsid w:val="0034531B"/>
    <w:rsid w:val="00350BB7"/>
    <w:rsid w:val="0035182C"/>
    <w:rsid w:val="00351AA5"/>
    <w:rsid w:val="00361FEF"/>
    <w:rsid w:val="003651A4"/>
    <w:rsid w:val="0037371F"/>
    <w:rsid w:val="00375D41"/>
    <w:rsid w:val="00385D6C"/>
    <w:rsid w:val="0039063D"/>
    <w:rsid w:val="00390F7E"/>
    <w:rsid w:val="00393450"/>
    <w:rsid w:val="00397BB6"/>
    <w:rsid w:val="003A1F33"/>
    <w:rsid w:val="003B1579"/>
    <w:rsid w:val="003B465C"/>
    <w:rsid w:val="003B4FE6"/>
    <w:rsid w:val="003B5651"/>
    <w:rsid w:val="003C5D28"/>
    <w:rsid w:val="003C64F9"/>
    <w:rsid w:val="003F4A7A"/>
    <w:rsid w:val="00401DCE"/>
    <w:rsid w:val="00403235"/>
    <w:rsid w:val="00404801"/>
    <w:rsid w:val="004070CE"/>
    <w:rsid w:val="00412703"/>
    <w:rsid w:val="00414600"/>
    <w:rsid w:val="00415679"/>
    <w:rsid w:val="00425322"/>
    <w:rsid w:val="00425D0A"/>
    <w:rsid w:val="00430809"/>
    <w:rsid w:val="00434C71"/>
    <w:rsid w:val="00436D3D"/>
    <w:rsid w:val="004407B4"/>
    <w:rsid w:val="00445F4C"/>
    <w:rsid w:val="00446F0E"/>
    <w:rsid w:val="00447335"/>
    <w:rsid w:val="00452917"/>
    <w:rsid w:val="00460FA0"/>
    <w:rsid w:val="00461431"/>
    <w:rsid w:val="00461B14"/>
    <w:rsid w:val="00462CB3"/>
    <w:rsid w:val="0046351C"/>
    <w:rsid w:val="004677BC"/>
    <w:rsid w:val="004737B1"/>
    <w:rsid w:val="004738D4"/>
    <w:rsid w:val="0047563B"/>
    <w:rsid w:val="004809A4"/>
    <w:rsid w:val="0048539A"/>
    <w:rsid w:val="00490430"/>
    <w:rsid w:val="00491895"/>
    <w:rsid w:val="004A40ED"/>
    <w:rsid w:val="004A6939"/>
    <w:rsid w:val="004A69F6"/>
    <w:rsid w:val="004B4EAF"/>
    <w:rsid w:val="004C04DE"/>
    <w:rsid w:val="004C0E0C"/>
    <w:rsid w:val="004C11F5"/>
    <w:rsid w:val="004D0E95"/>
    <w:rsid w:val="004D0FB0"/>
    <w:rsid w:val="004E1BC6"/>
    <w:rsid w:val="004E29A8"/>
    <w:rsid w:val="004E3CE3"/>
    <w:rsid w:val="004E6DB6"/>
    <w:rsid w:val="004E7F14"/>
    <w:rsid w:val="004F1A2C"/>
    <w:rsid w:val="004F73F8"/>
    <w:rsid w:val="005132FD"/>
    <w:rsid w:val="00514CEE"/>
    <w:rsid w:val="005204C5"/>
    <w:rsid w:val="00526040"/>
    <w:rsid w:val="00526989"/>
    <w:rsid w:val="005278B7"/>
    <w:rsid w:val="005325C5"/>
    <w:rsid w:val="005400EC"/>
    <w:rsid w:val="005437FE"/>
    <w:rsid w:val="0054475F"/>
    <w:rsid w:val="0054490A"/>
    <w:rsid w:val="00545245"/>
    <w:rsid w:val="0054673D"/>
    <w:rsid w:val="005564F5"/>
    <w:rsid w:val="00564FAD"/>
    <w:rsid w:val="005740EC"/>
    <w:rsid w:val="00574E5D"/>
    <w:rsid w:val="0057513E"/>
    <w:rsid w:val="005757EE"/>
    <w:rsid w:val="005765D6"/>
    <w:rsid w:val="005806B1"/>
    <w:rsid w:val="00585776"/>
    <w:rsid w:val="005930C3"/>
    <w:rsid w:val="00593DDD"/>
    <w:rsid w:val="0059564D"/>
    <w:rsid w:val="0059651F"/>
    <w:rsid w:val="005968DC"/>
    <w:rsid w:val="0059722A"/>
    <w:rsid w:val="005A253E"/>
    <w:rsid w:val="005B1FEB"/>
    <w:rsid w:val="005B26B8"/>
    <w:rsid w:val="005B4D62"/>
    <w:rsid w:val="005B56D3"/>
    <w:rsid w:val="005B5ADA"/>
    <w:rsid w:val="005C1E3A"/>
    <w:rsid w:val="005C2DBB"/>
    <w:rsid w:val="005C4D4A"/>
    <w:rsid w:val="005D0903"/>
    <w:rsid w:val="005E3B20"/>
    <w:rsid w:val="005E7C96"/>
    <w:rsid w:val="005F64C3"/>
    <w:rsid w:val="00617474"/>
    <w:rsid w:val="00617512"/>
    <w:rsid w:val="006207B8"/>
    <w:rsid w:val="00626AB3"/>
    <w:rsid w:val="00643C34"/>
    <w:rsid w:val="00644863"/>
    <w:rsid w:val="00651508"/>
    <w:rsid w:val="00651FA9"/>
    <w:rsid w:val="00652CAC"/>
    <w:rsid w:val="00652CB7"/>
    <w:rsid w:val="0065558E"/>
    <w:rsid w:val="00657B5B"/>
    <w:rsid w:val="00665CA3"/>
    <w:rsid w:val="00670516"/>
    <w:rsid w:val="00672BE5"/>
    <w:rsid w:val="0068451D"/>
    <w:rsid w:val="0068729C"/>
    <w:rsid w:val="00693E49"/>
    <w:rsid w:val="0069759C"/>
    <w:rsid w:val="00697711"/>
    <w:rsid w:val="006A5CC5"/>
    <w:rsid w:val="006B1B7C"/>
    <w:rsid w:val="006B407F"/>
    <w:rsid w:val="006C5AC4"/>
    <w:rsid w:val="006C6145"/>
    <w:rsid w:val="006C638C"/>
    <w:rsid w:val="006D09E8"/>
    <w:rsid w:val="006D0BBC"/>
    <w:rsid w:val="006D0FDC"/>
    <w:rsid w:val="006D1FD7"/>
    <w:rsid w:val="006E0A4C"/>
    <w:rsid w:val="006F45EF"/>
    <w:rsid w:val="006F4DF4"/>
    <w:rsid w:val="006F54A5"/>
    <w:rsid w:val="007043E4"/>
    <w:rsid w:val="00705DD3"/>
    <w:rsid w:val="00706181"/>
    <w:rsid w:val="00707C44"/>
    <w:rsid w:val="00710897"/>
    <w:rsid w:val="007141B9"/>
    <w:rsid w:val="00716680"/>
    <w:rsid w:val="0072312C"/>
    <w:rsid w:val="0072479C"/>
    <w:rsid w:val="00724A82"/>
    <w:rsid w:val="00724B06"/>
    <w:rsid w:val="00734696"/>
    <w:rsid w:val="00735396"/>
    <w:rsid w:val="007368D8"/>
    <w:rsid w:val="00740A80"/>
    <w:rsid w:val="007464C0"/>
    <w:rsid w:val="00752438"/>
    <w:rsid w:val="007539A8"/>
    <w:rsid w:val="007567D8"/>
    <w:rsid w:val="00757093"/>
    <w:rsid w:val="00762E9F"/>
    <w:rsid w:val="00762F5D"/>
    <w:rsid w:val="007663F8"/>
    <w:rsid w:val="00770781"/>
    <w:rsid w:val="00776565"/>
    <w:rsid w:val="00777361"/>
    <w:rsid w:val="00777A8B"/>
    <w:rsid w:val="007803EC"/>
    <w:rsid w:val="00784172"/>
    <w:rsid w:val="00791ADE"/>
    <w:rsid w:val="00794F69"/>
    <w:rsid w:val="007A66FF"/>
    <w:rsid w:val="007B3779"/>
    <w:rsid w:val="007B3894"/>
    <w:rsid w:val="007C0455"/>
    <w:rsid w:val="007C7F0B"/>
    <w:rsid w:val="007D08CE"/>
    <w:rsid w:val="007D1625"/>
    <w:rsid w:val="007D3EC4"/>
    <w:rsid w:val="007E58BC"/>
    <w:rsid w:val="007E6D17"/>
    <w:rsid w:val="007F5216"/>
    <w:rsid w:val="007F7A4D"/>
    <w:rsid w:val="00810A72"/>
    <w:rsid w:val="00812739"/>
    <w:rsid w:val="0081693E"/>
    <w:rsid w:val="00820711"/>
    <w:rsid w:val="008264C4"/>
    <w:rsid w:val="00826A61"/>
    <w:rsid w:val="00833D62"/>
    <w:rsid w:val="0083727A"/>
    <w:rsid w:val="00841AA4"/>
    <w:rsid w:val="00847C8E"/>
    <w:rsid w:val="0085046E"/>
    <w:rsid w:val="00852C24"/>
    <w:rsid w:val="00852CAD"/>
    <w:rsid w:val="00855BFC"/>
    <w:rsid w:val="00871876"/>
    <w:rsid w:val="0087714E"/>
    <w:rsid w:val="00881C7F"/>
    <w:rsid w:val="00896890"/>
    <w:rsid w:val="008A20D0"/>
    <w:rsid w:val="008A24D6"/>
    <w:rsid w:val="008B21BA"/>
    <w:rsid w:val="008B2823"/>
    <w:rsid w:val="008B6C6E"/>
    <w:rsid w:val="008C762A"/>
    <w:rsid w:val="008C7F3B"/>
    <w:rsid w:val="008D432B"/>
    <w:rsid w:val="008E2E2A"/>
    <w:rsid w:val="008E7BAC"/>
    <w:rsid w:val="008F6452"/>
    <w:rsid w:val="008F7CCF"/>
    <w:rsid w:val="00901D5D"/>
    <w:rsid w:val="00907961"/>
    <w:rsid w:val="00917C71"/>
    <w:rsid w:val="009200E9"/>
    <w:rsid w:val="00921290"/>
    <w:rsid w:val="00925D25"/>
    <w:rsid w:val="009266F6"/>
    <w:rsid w:val="00927FC9"/>
    <w:rsid w:val="00930B3E"/>
    <w:rsid w:val="00935BED"/>
    <w:rsid w:val="0093673F"/>
    <w:rsid w:val="00941512"/>
    <w:rsid w:val="0094586D"/>
    <w:rsid w:val="009466B0"/>
    <w:rsid w:val="00951858"/>
    <w:rsid w:val="00953439"/>
    <w:rsid w:val="0096390C"/>
    <w:rsid w:val="009639EF"/>
    <w:rsid w:val="009764C4"/>
    <w:rsid w:val="00977B44"/>
    <w:rsid w:val="009912E1"/>
    <w:rsid w:val="009974CC"/>
    <w:rsid w:val="009A61A5"/>
    <w:rsid w:val="009B14E8"/>
    <w:rsid w:val="009B206B"/>
    <w:rsid w:val="009C5361"/>
    <w:rsid w:val="009C6C01"/>
    <w:rsid w:val="009D002A"/>
    <w:rsid w:val="009D1A61"/>
    <w:rsid w:val="009D7FA5"/>
    <w:rsid w:val="009E06C1"/>
    <w:rsid w:val="009E18CC"/>
    <w:rsid w:val="009E5DA9"/>
    <w:rsid w:val="009E77C2"/>
    <w:rsid w:val="009F1555"/>
    <w:rsid w:val="00A129AB"/>
    <w:rsid w:val="00A13D87"/>
    <w:rsid w:val="00A13F05"/>
    <w:rsid w:val="00A142CD"/>
    <w:rsid w:val="00A15C52"/>
    <w:rsid w:val="00A17928"/>
    <w:rsid w:val="00A22EEA"/>
    <w:rsid w:val="00A24411"/>
    <w:rsid w:val="00A27BF9"/>
    <w:rsid w:val="00A318D3"/>
    <w:rsid w:val="00A353B0"/>
    <w:rsid w:val="00A35402"/>
    <w:rsid w:val="00A37D09"/>
    <w:rsid w:val="00A449C1"/>
    <w:rsid w:val="00A5265C"/>
    <w:rsid w:val="00A670F2"/>
    <w:rsid w:val="00A6713E"/>
    <w:rsid w:val="00A70016"/>
    <w:rsid w:val="00A72DAD"/>
    <w:rsid w:val="00A753CA"/>
    <w:rsid w:val="00A91220"/>
    <w:rsid w:val="00A96332"/>
    <w:rsid w:val="00A96FAB"/>
    <w:rsid w:val="00A97B56"/>
    <w:rsid w:val="00A97C35"/>
    <w:rsid w:val="00AA2D7F"/>
    <w:rsid w:val="00AA2DB8"/>
    <w:rsid w:val="00AA4449"/>
    <w:rsid w:val="00AA51DD"/>
    <w:rsid w:val="00AA641A"/>
    <w:rsid w:val="00AA7D65"/>
    <w:rsid w:val="00AB1D18"/>
    <w:rsid w:val="00AC2FEF"/>
    <w:rsid w:val="00AC4A29"/>
    <w:rsid w:val="00AD47B1"/>
    <w:rsid w:val="00AD5653"/>
    <w:rsid w:val="00AE526D"/>
    <w:rsid w:val="00AE5C5E"/>
    <w:rsid w:val="00AE5EA7"/>
    <w:rsid w:val="00AF4EA2"/>
    <w:rsid w:val="00B02BEB"/>
    <w:rsid w:val="00B14B5B"/>
    <w:rsid w:val="00B25615"/>
    <w:rsid w:val="00B27291"/>
    <w:rsid w:val="00B37744"/>
    <w:rsid w:val="00B410B0"/>
    <w:rsid w:val="00B41D15"/>
    <w:rsid w:val="00B43170"/>
    <w:rsid w:val="00B439D5"/>
    <w:rsid w:val="00B44035"/>
    <w:rsid w:val="00B47E25"/>
    <w:rsid w:val="00B47EF9"/>
    <w:rsid w:val="00B5123D"/>
    <w:rsid w:val="00B54DD8"/>
    <w:rsid w:val="00B803C6"/>
    <w:rsid w:val="00B8718E"/>
    <w:rsid w:val="00B93FE7"/>
    <w:rsid w:val="00B95209"/>
    <w:rsid w:val="00BC2740"/>
    <w:rsid w:val="00BD2ABB"/>
    <w:rsid w:val="00BD3D3D"/>
    <w:rsid w:val="00BD4F6B"/>
    <w:rsid w:val="00BD50E7"/>
    <w:rsid w:val="00BD6B55"/>
    <w:rsid w:val="00BE4C1F"/>
    <w:rsid w:val="00BF25CA"/>
    <w:rsid w:val="00BF7084"/>
    <w:rsid w:val="00C075A5"/>
    <w:rsid w:val="00C175A5"/>
    <w:rsid w:val="00C178CC"/>
    <w:rsid w:val="00C20947"/>
    <w:rsid w:val="00C20E35"/>
    <w:rsid w:val="00C263C1"/>
    <w:rsid w:val="00C30A4E"/>
    <w:rsid w:val="00C32E8E"/>
    <w:rsid w:val="00C34196"/>
    <w:rsid w:val="00C37B1F"/>
    <w:rsid w:val="00C37E59"/>
    <w:rsid w:val="00C437AA"/>
    <w:rsid w:val="00C6418A"/>
    <w:rsid w:val="00C66AF0"/>
    <w:rsid w:val="00C707ED"/>
    <w:rsid w:val="00C76C45"/>
    <w:rsid w:val="00C800D4"/>
    <w:rsid w:val="00C80BB5"/>
    <w:rsid w:val="00C8220E"/>
    <w:rsid w:val="00C84EFB"/>
    <w:rsid w:val="00C92DDC"/>
    <w:rsid w:val="00C9566D"/>
    <w:rsid w:val="00C97F4F"/>
    <w:rsid w:val="00C97F8D"/>
    <w:rsid w:val="00CA22B2"/>
    <w:rsid w:val="00CA307D"/>
    <w:rsid w:val="00CA5A0E"/>
    <w:rsid w:val="00CB01E4"/>
    <w:rsid w:val="00CB58E5"/>
    <w:rsid w:val="00CC0C27"/>
    <w:rsid w:val="00CC1C41"/>
    <w:rsid w:val="00CC44F5"/>
    <w:rsid w:val="00CC5296"/>
    <w:rsid w:val="00CC694F"/>
    <w:rsid w:val="00CC7EBF"/>
    <w:rsid w:val="00CD039E"/>
    <w:rsid w:val="00CD28E2"/>
    <w:rsid w:val="00CD6368"/>
    <w:rsid w:val="00CE1475"/>
    <w:rsid w:val="00CE6EF3"/>
    <w:rsid w:val="00CE7254"/>
    <w:rsid w:val="00CE7411"/>
    <w:rsid w:val="00CF0923"/>
    <w:rsid w:val="00CF35BB"/>
    <w:rsid w:val="00CF6DAF"/>
    <w:rsid w:val="00D001AB"/>
    <w:rsid w:val="00D01C77"/>
    <w:rsid w:val="00D03432"/>
    <w:rsid w:val="00D0487A"/>
    <w:rsid w:val="00D052CA"/>
    <w:rsid w:val="00D11D5B"/>
    <w:rsid w:val="00D14CB4"/>
    <w:rsid w:val="00D172A8"/>
    <w:rsid w:val="00D21B9A"/>
    <w:rsid w:val="00D27761"/>
    <w:rsid w:val="00D37F57"/>
    <w:rsid w:val="00D4272C"/>
    <w:rsid w:val="00D43D5F"/>
    <w:rsid w:val="00D50B1E"/>
    <w:rsid w:val="00D50D86"/>
    <w:rsid w:val="00D53228"/>
    <w:rsid w:val="00D60498"/>
    <w:rsid w:val="00D63648"/>
    <w:rsid w:val="00D6617E"/>
    <w:rsid w:val="00D872E4"/>
    <w:rsid w:val="00D875C9"/>
    <w:rsid w:val="00D908D5"/>
    <w:rsid w:val="00D91A23"/>
    <w:rsid w:val="00D93601"/>
    <w:rsid w:val="00D9501A"/>
    <w:rsid w:val="00D975FC"/>
    <w:rsid w:val="00DA1127"/>
    <w:rsid w:val="00DA5418"/>
    <w:rsid w:val="00DA5595"/>
    <w:rsid w:val="00DA6BCD"/>
    <w:rsid w:val="00DB5960"/>
    <w:rsid w:val="00DC1FAA"/>
    <w:rsid w:val="00DC3D25"/>
    <w:rsid w:val="00DC42AC"/>
    <w:rsid w:val="00DC46B5"/>
    <w:rsid w:val="00DC594C"/>
    <w:rsid w:val="00DC6BA8"/>
    <w:rsid w:val="00DD3638"/>
    <w:rsid w:val="00DD6315"/>
    <w:rsid w:val="00DE2F52"/>
    <w:rsid w:val="00DE323C"/>
    <w:rsid w:val="00DE37C7"/>
    <w:rsid w:val="00DE3BB9"/>
    <w:rsid w:val="00DE4D60"/>
    <w:rsid w:val="00DE50FA"/>
    <w:rsid w:val="00DE5538"/>
    <w:rsid w:val="00DE6BAE"/>
    <w:rsid w:val="00DE703C"/>
    <w:rsid w:val="00DF0678"/>
    <w:rsid w:val="00DF1B6A"/>
    <w:rsid w:val="00DF20CE"/>
    <w:rsid w:val="00DF7933"/>
    <w:rsid w:val="00E00092"/>
    <w:rsid w:val="00E04C1A"/>
    <w:rsid w:val="00E04F31"/>
    <w:rsid w:val="00E059EC"/>
    <w:rsid w:val="00E12F2D"/>
    <w:rsid w:val="00E20169"/>
    <w:rsid w:val="00E226B4"/>
    <w:rsid w:val="00E231BB"/>
    <w:rsid w:val="00E263B0"/>
    <w:rsid w:val="00E3595A"/>
    <w:rsid w:val="00E35EC3"/>
    <w:rsid w:val="00E37FDC"/>
    <w:rsid w:val="00E5217D"/>
    <w:rsid w:val="00E553D5"/>
    <w:rsid w:val="00E62294"/>
    <w:rsid w:val="00E706ED"/>
    <w:rsid w:val="00E723A8"/>
    <w:rsid w:val="00E72438"/>
    <w:rsid w:val="00E73DC1"/>
    <w:rsid w:val="00E74752"/>
    <w:rsid w:val="00E82B2E"/>
    <w:rsid w:val="00E9213A"/>
    <w:rsid w:val="00E96DE4"/>
    <w:rsid w:val="00EA35F0"/>
    <w:rsid w:val="00EB0FBD"/>
    <w:rsid w:val="00EB6A7B"/>
    <w:rsid w:val="00EC1EC7"/>
    <w:rsid w:val="00EC40F1"/>
    <w:rsid w:val="00EC5D8D"/>
    <w:rsid w:val="00ED48AB"/>
    <w:rsid w:val="00EE5615"/>
    <w:rsid w:val="00EE57DD"/>
    <w:rsid w:val="00EE5BFB"/>
    <w:rsid w:val="00EE6234"/>
    <w:rsid w:val="00EE6CED"/>
    <w:rsid w:val="00EF50FE"/>
    <w:rsid w:val="00EF54DB"/>
    <w:rsid w:val="00EF5F98"/>
    <w:rsid w:val="00F02C35"/>
    <w:rsid w:val="00F05C1D"/>
    <w:rsid w:val="00F06DA1"/>
    <w:rsid w:val="00F10A2B"/>
    <w:rsid w:val="00F118A7"/>
    <w:rsid w:val="00F128C8"/>
    <w:rsid w:val="00F135CE"/>
    <w:rsid w:val="00F13E1B"/>
    <w:rsid w:val="00F1599F"/>
    <w:rsid w:val="00F1716B"/>
    <w:rsid w:val="00F17B78"/>
    <w:rsid w:val="00F17C1F"/>
    <w:rsid w:val="00F223C5"/>
    <w:rsid w:val="00F23F46"/>
    <w:rsid w:val="00F248FF"/>
    <w:rsid w:val="00F251EE"/>
    <w:rsid w:val="00F253D2"/>
    <w:rsid w:val="00F30B66"/>
    <w:rsid w:val="00F371AF"/>
    <w:rsid w:val="00F4346F"/>
    <w:rsid w:val="00F43C97"/>
    <w:rsid w:val="00F43E32"/>
    <w:rsid w:val="00F542BC"/>
    <w:rsid w:val="00F55664"/>
    <w:rsid w:val="00F57232"/>
    <w:rsid w:val="00F60C53"/>
    <w:rsid w:val="00F651B6"/>
    <w:rsid w:val="00F67746"/>
    <w:rsid w:val="00F733EA"/>
    <w:rsid w:val="00F75125"/>
    <w:rsid w:val="00F77753"/>
    <w:rsid w:val="00F82173"/>
    <w:rsid w:val="00F83D45"/>
    <w:rsid w:val="00FB16C3"/>
    <w:rsid w:val="00FB219F"/>
    <w:rsid w:val="00FB5D3B"/>
    <w:rsid w:val="00FC0EDC"/>
    <w:rsid w:val="00FC2349"/>
    <w:rsid w:val="00FC4BF6"/>
    <w:rsid w:val="00FC62F8"/>
    <w:rsid w:val="00FD3E72"/>
    <w:rsid w:val="00FD7527"/>
    <w:rsid w:val="00FF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71FB6"/>
  <w15:chartTrackingRefBased/>
  <w15:docId w15:val="{882A5F4B-BAA2-486D-9C22-DF4C5A67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u-HU"/>
    </w:rPr>
  </w:style>
  <w:style w:type="paragraph" w:styleId="Heading1">
    <w:name w:val="heading 1"/>
    <w:basedOn w:val="Normal"/>
    <w:next w:val="Normal"/>
    <w:link w:val="Heading1Char"/>
    <w:uiPriority w:val="9"/>
    <w:qFormat/>
    <w:rsid w:val="009E18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5322"/>
    <w:pPr>
      <w:keepNext/>
      <w:keepLines/>
      <w:spacing w:before="40" w:after="0"/>
      <w:jc w:val="both"/>
      <w:outlineLvl w:val="1"/>
    </w:pPr>
    <w:rPr>
      <w:rFonts w:ascii="Palatino Linotype" w:eastAsiaTheme="majorEastAsia" w:hAnsi="Palatino Linotype"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77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56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unhideWhenUsed/>
    <w:rsid w:val="0059564D"/>
    <w:rPr>
      <w:color w:val="0000FF"/>
      <w:u w:val="single"/>
    </w:rPr>
  </w:style>
  <w:style w:type="paragraph" w:styleId="ListParagraph">
    <w:name w:val="List Paragraph"/>
    <w:basedOn w:val="Normal"/>
    <w:uiPriority w:val="34"/>
    <w:qFormat/>
    <w:rsid w:val="0059564D"/>
    <w:pPr>
      <w:ind w:left="720"/>
      <w:contextualSpacing/>
    </w:pPr>
  </w:style>
  <w:style w:type="character" w:customStyle="1" w:styleId="Heading1Char">
    <w:name w:val="Heading 1 Char"/>
    <w:basedOn w:val="DefaultParagraphFont"/>
    <w:link w:val="Heading1"/>
    <w:uiPriority w:val="9"/>
    <w:rsid w:val="009E18CC"/>
    <w:rPr>
      <w:rFonts w:asciiTheme="majorHAnsi" w:eastAsiaTheme="majorEastAsia" w:hAnsiTheme="majorHAnsi" w:cstheme="majorBidi"/>
      <w:color w:val="2E74B5" w:themeColor="accent1" w:themeShade="BF"/>
      <w:sz w:val="32"/>
      <w:szCs w:val="32"/>
      <w:lang w:val="hu-HU"/>
    </w:rPr>
  </w:style>
  <w:style w:type="character" w:styleId="PlaceholderText">
    <w:name w:val="Placeholder Text"/>
    <w:basedOn w:val="DefaultParagraphFont"/>
    <w:uiPriority w:val="99"/>
    <w:semiHidden/>
    <w:rsid w:val="0096390C"/>
    <w:rPr>
      <w:color w:val="808080"/>
    </w:rPr>
  </w:style>
  <w:style w:type="paragraph" w:styleId="Caption">
    <w:name w:val="caption"/>
    <w:basedOn w:val="Normal"/>
    <w:next w:val="Normal"/>
    <w:uiPriority w:val="35"/>
    <w:unhideWhenUsed/>
    <w:qFormat/>
    <w:rsid w:val="002F3892"/>
    <w:pPr>
      <w:spacing w:after="200" w:line="240" w:lineRule="auto"/>
    </w:pPr>
    <w:rPr>
      <w:i/>
      <w:iCs/>
      <w:color w:val="44546A" w:themeColor="text2"/>
      <w:sz w:val="18"/>
      <w:szCs w:val="18"/>
    </w:rPr>
  </w:style>
  <w:style w:type="table" w:styleId="TableGrid">
    <w:name w:val="Table Grid"/>
    <w:basedOn w:val="TableNormal"/>
    <w:uiPriority w:val="39"/>
    <w:rsid w:val="0054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5322"/>
    <w:rPr>
      <w:rFonts w:ascii="Palatino Linotype" w:eastAsiaTheme="majorEastAsia" w:hAnsi="Palatino Linotype" w:cstheme="majorBidi"/>
      <w:color w:val="2E74B5" w:themeColor="accent1" w:themeShade="BF"/>
      <w:sz w:val="26"/>
      <w:szCs w:val="26"/>
      <w:lang w:val="hu-HU"/>
    </w:rPr>
  </w:style>
  <w:style w:type="character" w:customStyle="1" w:styleId="Heading3Char">
    <w:name w:val="Heading 3 Char"/>
    <w:basedOn w:val="DefaultParagraphFont"/>
    <w:link w:val="Heading3"/>
    <w:uiPriority w:val="9"/>
    <w:rsid w:val="004677BC"/>
    <w:rPr>
      <w:rFonts w:asciiTheme="majorHAnsi" w:eastAsiaTheme="majorEastAsia" w:hAnsiTheme="majorHAnsi" w:cstheme="majorBidi"/>
      <w:color w:val="1F4D78" w:themeColor="accent1" w:themeShade="7F"/>
      <w:sz w:val="24"/>
      <w:szCs w:val="24"/>
      <w:lang w:val="hu-HU"/>
    </w:rPr>
  </w:style>
  <w:style w:type="paragraph" w:styleId="Title">
    <w:name w:val="Title"/>
    <w:basedOn w:val="Normal"/>
    <w:next w:val="Normal"/>
    <w:link w:val="TitleChar"/>
    <w:uiPriority w:val="10"/>
    <w:qFormat/>
    <w:rsid w:val="00707C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C44"/>
    <w:rPr>
      <w:rFonts w:asciiTheme="majorHAnsi" w:eastAsiaTheme="majorEastAsia" w:hAnsiTheme="majorHAnsi" w:cstheme="majorBidi"/>
      <w:spacing w:val="-10"/>
      <w:kern w:val="28"/>
      <w:sz w:val="56"/>
      <w:szCs w:val="56"/>
      <w:lang w:val="hu-HU"/>
    </w:rPr>
  </w:style>
  <w:style w:type="paragraph" w:styleId="Header">
    <w:name w:val="header"/>
    <w:basedOn w:val="Normal"/>
    <w:link w:val="HeaderChar"/>
    <w:uiPriority w:val="99"/>
    <w:unhideWhenUsed/>
    <w:rsid w:val="00930B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B3E"/>
    <w:rPr>
      <w:lang w:val="hu-HU"/>
    </w:rPr>
  </w:style>
  <w:style w:type="paragraph" w:styleId="Footer">
    <w:name w:val="footer"/>
    <w:basedOn w:val="Normal"/>
    <w:link w:val="FooterChar"/>
    <w:uiPriority w:val="99"/>
    <w:unhideWhenUsed/>
    <w:rsid w:val="00930B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B3E"/>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31281">
      <w:bodyDiv w:val="1"/>
      <w:marLeft w:val="0"/>
      <w:marRight w:val="0"/>
      <w:marTop w:val="0"/>
      <w:marBottom w:val="0"/>
      <w:divBdr>
        <w:top w:val="none" w:sz="0" w:space="0" w:color="auto"/>
        <w:left w:val="none" w:sz="0" w:space="0" w:color="auto"/>
        <w:bottom w:val="none" w:sz="0" w:space="0" w:color="auto"/>
        <w:right w:val="none" w:sz="0" w:space="0" w:color="auto"/>
      </w:divBdr>
    </w:div>
    <w:div w:id="80315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3.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kustan\1%20&#218;j%20mappa\Munk&#225;k\P2G\ORC%20modell\waste%20heat%20sour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ustan\1%20&#218;j%20mappa\Munk&#225;k\P2G\ORC%20modell\waste%20heat%20sour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hu-HU" sz="1200"/>
              <a:t>R245fa </a:t>
            </a:r>
            <a:r>
              <a:rPr lang="hu-HU" sz="1200" i="1"/>
              <a:t>T-s</a:t>
            </a:r>
            <a:r>
              <a:rPr lang="hu-HU" sz="1200"/>
              <a:t> diagram</a:t>
            </a:r>
          </a:p>
        </c:rich>
      </c:tx>
      <c:layout>
        <c:manualLayout>
          <c:xMode val="edge"/>
          <c:yMode val="edge"/>
          <c:x val="0.37270809626212348"/>
          <c:y val="5.028442304404283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en-US"/>
        </a:p>
      </c:txPr>
    </c:title>
    <c:autoTitleDeleted val="0"/>
    <c:plotArea>
      <c:layout>
        <c:manualLayout>
          <c:layoutTarget val="inner"/>
          <c:xMode val="edge"/>
          <c:yMode val="edge"/>
          <c:x val="0.19277874443286483"/>
          <c:y val="0.1530944580250736"/>
          <c:w val="0.73831285973487049"/>
          <c:h val="0.66173995341735092"/>
        </c:manualLayout>
      </c:layout>
      <c:scatterChart>
        <c:scatterStyle val="smoothMarker"/>
        <c:varyColors val="0"/>
        <c:ser>
          <c:idx val="0"/>
          <c:order val="0"/>
          <c:spPr>
            <a:ln w="12700" cap="rnd">
              <a:solidFill>
                <a:schemeClr val="tx1"/>
              </a:solidFill>
              <a:round/>
            </a:ln>
            <a:effectLst/>
          </c:spPr>
          <c:marker>
            <c:symbol val="none"/>
          </c:marker>
          <c:xVal>
            <c:numRef>
              <c:f>'R245fa_Ts'!$B$8:$B$108</c:f>
              <c:numCache>
                <c:formatCode>General</c:formatCode>
                <c:ptCount val="101"/>
                <c:pt idx="0">
                  <c:v>-1.1263440592959311</c:v>
                </c:pt>
                <c:pt idx="1">
                  <c:v>-1.1145353575644317</c:v>
                </c:pt>
                <c:pt idx="2">
                  <c:v>-1.1028084412477659</c:v>
                </c:pt>
                <c:pt idx="3">
                  <c:v>-1.0911610603373394</c:v>
                </c:pt>
                <c:pt idx="4">
                  <c:v>-1.0795910384416172</c:v>
                </c:pt>
                <c:pt idx="5">
                  <c:v>-1.0680962690212303</c:v>
                </c:pt>
                <c:pt idx="6">
                  <c:v>-1.0566747118279409</c:v>
                </c:pt>
                <c:pt idx="7">
                  <c:v>-1.0453243895329876</c:v>
                </c:pt>
                <c:pt idx="8">
                  <c:v>-1.0340433845313779</c:v>
                </c:pt>
                <c:pt idx="9">
                  <c:v>-1.022829835909667</c:v>
                </c:pt>
                <c:pt idx="10">
                  <c:v>-1.0116819365656133</c:v>
                </c:pt>
                <c:pt idx="11">
                  <c:v>-1.0005979304689085</c:v>
                </c:pt>
                <c:pt idx="12">
                  <c:v>-0.98957611005288637</c:v>
                </c:pt>
                <c:pt idx="13">
                  <c:v>-0.97861481372777137</c:v>
                </c:pt>
                <c:pt idx="14">
                  <c:v>-0.96771242350662978</c:v>
                </c:pt>
                <c:pt idx="15">
                  <c:v>-0.95686736273572204</c:v>
                </c:pt>
                <c:pt idx="16">
                  <c:v>-0.94607809392143438</c:v>
                </c:pt>
                <c:pt idx="17">
                  <c:v>-0.93534311664643077</c:v>
                </c:pt>
                <c:pt idx="18">
                  <c:v>-0.92466096556804989</c:v>
                </c:pt>
                <c:pt idx="19">
                  <c:v>-0.91403020849233674</c:v>
                </c:pt>
                <c:pt idx="20">
                  <c:v>-0.90344944451742715</c:v>
                </c:pt>
                <c:pt idx="21">
                  <c:v>-0.8929173022402781</c:v>
                </c:pt>
                <c:pt idx="22">
                  <c:v>-0.88243243802100046</c:v>
                </c:pt>
                <c:pt idx="23">
                  <c:v>-0.87199353429926352</c:v>
                </c:pt>
                <c:pt idx="24">
                  <c:v>-0.86159929795743284</c:v>
                </c:pt>
                <c:pt idx="25">
                  <c:v>-0.85124845872526533</c:v>
                </c:pt>
                <c:pt idx="26">
                  <c:v>-0.84093976762110068</c:v>
                </c:pt>
                <c:pt idx="27">
                  <c:v>-0.83067199542460646</c:v>
                </c:pt>
                <c:pt idx="28">
                  <c:v>-0.82044393117618264</c:v>
                </c:pt>
                <c:pt idx="29">
                  <c:v>-0.81025438069818712</c:v>
                </c:pt>
                <c:pt idx="30">
                  <c:v>-0.8001021651331377</c:v>
                </c:pt>
                <c:pt idx="31">
                  <c:v>-0.78998611949403086</c:v>
                </c:pt>
                <c:pt idx="32">
                  <c:v>-0.77990509122185248</c:v>
                </c:pt>
                <c:pt idx="33">
                  <c:v>-0.76985793874527064</c:v>
                </c:pt>
                <c:pt idx="34">
                  <c:v>-0.75984353003580862</c:v>
                </c:pt>
                <c:pt idx="35">
                  <c:v>-0.74986074116197043</c:v>
                </c:pt>
                <c:pt idx="36">
                  <c:v>-0.73990845481592538</c:v>
                </c:pt>
                <c:pt idx="37">
                  <c:v>-0.72998555883345972</c:v>
                </c:pt>
                <c:pt idx="38">
                  <c:v>-0.72009094468208745</c:v>
                </c:pt>
                <c:pt idx="39">
                  <c:v>-0.71022350591810346</c:v>
                </c:pt>
                <c:pt idx="40">
                  <c:v>-0.70038213660450122</c:v>
                </c:pt>
                <c:pt idx="41">
                  <c:v>-0.690565729682311</c:v>
                </c:pt>
                <c:pt idx="42">
                  <c:v>-0.68077317528731796</c:v>
                </c:pt>
                <c:pt idx="43">
                  <c:v>-0.67100335900345964</c:v>
                </c:pt>
                <c:pt idx="44">
                  <c:v>-0.66125516004337315</c:v>
                </c:pt>
                <c:pt idx="45">
                  <c:v>-0.65152744934567497</c:v>
                </c:pt>
                <c:pt idx="46">
                  <c:v>-0.64181908757749895</c:v>
                </c:pt>
                <c:pt idx="47">
                  <c:v>-0.63212892302959645</c:v>
                </c:pt>
                <c:pt idx="48">
                  <c:v>-0.62245578938992818</c:v>
                </c:pt>
                <c:pt idx="49">
                  <c:v>-0.61279850338004538</c:v>
                </c:pt>
                <c:pt idx="50">
                  <c:v>-0.60315586223672402</c:v>
                </c:pt>
                <c:pt idx="51">
                  <c:v>-0.5935266410191522</c:v>
                </c:pt>
                <c:pt idx="52">
                  <c:v>-0.58390958971949025</c:v>
                </c:pt>
                <c:pt idx="53">
                  <c:v>-0.57430343015174445</c:v>
                </c:pt>
                <c:pt idx="54">
                  <c:v>-0.564706852590519</c:v>
                </c:pt>
                <c:pt idx="55">
                  <c:v>-0.55511851212731478</c:v>
                </c:pt>
                <c:pt idx="56">
                  <c:v>-0.54553702470743914</c:v>
                </c:pt>
                <c:pt idx="57">
                  <c:v>-0.53596096280523697</c:v>
                </c:pt>
                <c:pt idx="58">
                  <c:v>-0.52638885068900332</c:v>
                </c:pt>
                <c:pt idx="59">
                  <c:v>-0.51681915921948074</c:v>
                </c:pt>
                <c:pt idx="60">
                  <c:v>-0.50725030011699002</c:v>
                </c:pt>
                <c:pt idx="61">
                  <c:v>-0.49768061962168958</c:v>
                </c:pt>
                <c:pt idx="62">
                  <c:v>-0.48810839145889801</c:v>
                </c:pt>
                <c:pt idx="63">
                  <c:v>-0.47853180900631409</c:v>
                </c:pt>
                <c:pt idx="64">
                  <c:v>-0.46894897654177459</c:v>
                </c:pt>
                <c:pt idx="65">
                  <c:v>-0.45935789942821131</c:v>
                </c:pt>
                <c:pt idx="66">
                  <c:v>-0.44975647306566358</c:v>
                </c:pt>
                <c:pt idx="67">
                  <c:v>-0.44014247040750598</c:v>
                </c:pt>
                <c:pt idx="68">
                  <c:v>-0.43051352779777202</c:v>
                </c:pt>
                <c:pt idx="69">
                  <c:v>-0.42086712883670219</c:v>
                </c:pt>
                <c:pt idx="70">
                  <c:v>-0.41120058591969116</c:v>
                </c:pt>
                <c:pt idx="71">
                  <c:v>-0.40151101901720188</c:v>
                </c:pt>
                <c:pt idx="72">
                  <c:v>-0.39179533116542165</c:v>
                </c:pt>
                <c:pt idx="73">
                  <c:v>-0.38205018001281599</c:v>
                </c:pt>
                <c:pt idx="74">
                  <c:v>-0.37227194460872703</c:v>
                </c:pt>
                <c:pt idx="75">
                  <c:v>-0.3624566864139615</c:v>
                </c:pt>
                <c:pt idx="76">
                  <c:v>-0.35260010324510138</c:v>
                </c:pt>
                <c:pt idx="77">
                  <c:v>-0.34269747451079324</c:v>
                </c:pt>
                <c:pt idx="78">
                  <c:v>-0.33274359562807831</c:v>
                </c:pt>
                <c:pt idx="79">
                  <c:v>-0.32273269887401751</c:v>
                </c:pt>
                <c:pt idx="80">
                  <c:v>-0.31265835706562384</c:v>
                </c:pt>
                <c:pt idx="81">
                  <c:v>-0.30251336527042155</c:v>
                </c:pt>
                <c:pt idx="82">
                  <c:v>-0.29228959408134148</c:v>
                </c:pt>
                <c:pt idx="83">
                  <c:v>-0.28197780561342695</c:v>
                </c:pt>
                <c:pt idx="84">
                  <c:v>-0.27156741993535488</c:v>
                </c:pt>
                <c:pt idx="85">
                  <c:v>-0.26104621455700078</c:v>
                </c:pt>
                <c:pt idx="86">
                  <c:v>-0.2503999319010965</c:v>
                </c:pt>
                <c:pt idx="87">
                  <c:v>-0.23961175777532606</c:v>
                </c:pt>
                <c:pt idx="88">
                  <c:v>-0.22866161490104672</c:v>
                </c:pt>
                <c:pt idx="89">
                  <c:v>-0.21752518441072216</c:v>
                </c:pt>
                <c:pt idx="90">
                  <c:v>-0.2061725151848906</c:v>
                </c:pt>
                <c:pt idx="91">
                  <c:v>-0.19456598668619957</c:v>
                </c:pt>
                <c:pt idx="92">
                  <c:v>-0.18265721510426361</c:v>
                </c:pt>
                <c:pt idx="93">
                  <c:v>-0.17038214435322929</c:v>
                </c:pt>
                <c:pt idx="94">
                  <c:v>-0.15765282176385362</c:v>
                </c:pt>
                <c:pt idx="95">
                  <c:v>-0.14434262805422909</c:v>
                </c:pt>
                <c:pt idx="96">
                  <c:v>-0.13025718669684699</c:v>
                </c:pt>
                <c:pt idx="97">
                  <c:v>-0.1150691370461403</c:v>
                </c:pt>
                <c:pt idx="98">
                  <c:v>-9.8139715112930043E-2</c:v>
                </c:pt>
                <c:pt idx="99">
                  <c:v>-7.7818141249787975E-2</c:v>
                </c:pt>
                <c:pt idx="100">
                  <c:v>-3.5254123353201987E-2</c:v>
                </c:pt>
              </c:numCache>
            </c:numRef>
          </c:xVal>
          <c:yVal>
            <c:numRef>
              <c:f>'R245fa_Ts'!$C$8:$C$108</c:f>
              <c:numCache>
                <c:formatCode>General</c:formatCode>
                <c:ptCount val="101"/>
                <c:pt idx="0">
                  <c:v>-73.150000000000006</c:v>
                </c:pt>
                <c:pt idx="1">
                  <c:v>-70.878</c:v>
                </c:pt>
                <c:pt idx="2">
                  <c:v>-68.606000000000009</c:v>
                </c:pt>
                <c:pt idx="3">
                  <c:v>-66.334000000000003</c:v>
                </c:pt>
                <c:pt idx="4">
                  <c:v>-64.062000000000012</c:v>
                </c:pt>
                <c:pt idx="5">
                  <c:v>-61.790000000000006</c:v>
                </c:pt>
                <c:pt idx="6">
                  <c:v>-59.518000000000001</c:v>
                </c:pt>
                <c:pt idx="7">
                  <c:v>-57.246000000000002</c:v>
                </c:pt>
                <c:pt idx="8">
                  <c:v>-54.974000000000004</c:v>
                </c:pt>
                <c:pt idx="9">
                  <c:v>-52.702000000000005</c:v>
                </c:pt>
                <c:pt idx="10">
                  <c:v>-50.430000000000007</c:v>
                </c:pt>
                <c:pt idx="11">
                  <c:v>-48.158000000000001</c:v>
                </c:pt>
                <c:pt idx="12">
                  <c:v>-45.886000000000003</c:v>
                </c:pt>
                <c:pt idx="13">
                  <c:v>-43.614000000000004</c:v>
                </c:pt>
                <c:pt idx="14">
                  <c:v>-41.341999999999999</c:v>
                </c:pt>
                <c:pt idx="15">
                  <c:v>-39.07</c:v>
                </c:pt>
                <c:pt idx="16">
                  <c:v>-36.798000000000002</c:v>
                </c:pt>
                <c:pt idx="17">
                  <c:v>-34.526000000000003</c:v>
                </c:pt>
                <c:pt idx="18">
                  <c:v>-32.254000000000005</c:v>
                </c:pt>
                <c:pt idx="19">
                  <c:v>-29.981999999999999</c:v>
                </c:pt>
                <c:pt idx="20">
                  <c:v>-27.71</c:v>
                </c:pt>
                <c:pt idx="21">
                  <c:v>-25.438000000000002</c:v>
                </c:pt>
                <c:pt idx="22">
                  <c:v>-23.165999999999997</c:v>
                </c:pt>
                <c:pt idx="23">
                  <c:v>-20.893999999999998</c:v>
                </c:pt>
                <c:pt idx="24">
                  <c:v>-18.622</c:v>
                </c:pt>
                <c:pt idx="25">
                  <c:v>-16.350000000000001</c:v>
                </c:pt>
                <c:pt idx="26">
                  <c:v>-14.078000000000003</c:v>
                </c:pt>
                <c:pt idx="27">
                  <c:v>-11.805999999999997</c:v>
                </c:pt>
                <c:pt idx="28">
                  <c:v>-9.5339999999999989</c:v>
                </c:pt>
                <c:pt idx="29">
                  <c:v>-7.2620000000000005</c:v>
                </c:pt>
                <c:pt idx="30">
                  <c:v>-4.9899999999999949</c:v>
                </c:pt>
                <c:pt idx="31">
                  <c:v>-2.7180000000000035</c:v>
                </c:pt>
                <c:pt idx="32">
                  <c:v>-0.44599999999999795</c:v>
                </c:pt>
                <c:pt idx="33">
                  <c:v>1.8260000000000076</c:v>
                </c:pt>
                <c:pt idx="34">
                  <c:v>4.097999999999999</c:v>
                </c:pt>
                <c:pt idx="35">
                  <c:v>6.3700000000000045</c:v>
                </c:pt>
                <c:pt idx="36">
                  <c:v>8.6419999999999959</c:v>
                </c:pt>
                <c:pt idx="37">
                  <c:v>10.914000000000001</c:v>
                </c:pt>
                <c:pt idx="38">
                  <c:v>13.186000000000007</c:v>
                </c:pt>
                <c:pt idx="39">
                  <c:v>15.457999999999998</c:v>
                </c:pt>
                <c:pt idx="40">
                  <c:v>17.730000000000004</c:v>
                </c:pt>
                <c:pt idx="41">
                  <c:v>20.00200000000001</c:v>
                </c:pt>
                <c:pt idx="42">
                  <c:v>22.274000000000001</c:v>
                </c:pt>
                <c:pt idx="43">
                  <c:v>24.546000000000006</c:v>
                </c:pt>
                <c:pt idx="44">
                  <c:v>26.818000000000012</c:v>
                </c:pt>
                <c:pt idx="45">
                  <c:v>29.090000000000003</c:v>
                </c:pt>
                <c:pt idx="46">
                  <c:v>31.362000000000009</c:v>
                </c:pt>
                <c:pt idx="47">
                  <c:v>33.634</c:v>
                </c:pt>
                <c:pt idx="48">
                  <c:v>35.906000000000006</c:v>
                </c:pt>
                <c:pt idx="49">
                  <c:v>38.178000000000011</c:v>
                </c:pt>
                <c:pt idx="50">
                  <c:v>40.450000000000003</c:v>
                </c:pt>
                <c:pt idx="51">
                  <c:v>42.722000000000008</c:v>
                </c:pt>
                <c:pt idx="52">
                  <c:v>44.994</c:v>
                </c:pt>
                <c:pt idx="53">
                  <c:v>47.266000000000005</c:v>
                </c:pt>
                <c:pt idx="54">
                  <c:v>49.538000000000011</c:v>
                </c:pt>
                <c:pt idx="55">
                  <c:v>51.81</c:v>
                </c:pt>
                <c:pt idx="56">
                  <c:v>54.082000000000008</c:v>
                </c:pt>
                <c:pt idx="57">
                  <c:v>56.354000000000013</c:v>
                </c:pt>
                <c:pt idx="58">
                  <c:v>58.626000000000005</c:v>
                </c:pt>
                <c:pt idx="59">
                  <c:v>60.897999999999996</c:v>
                </c:pt>
                <c:pt idx="60">
                  <c:v>63.170000000000016</c:v>
                </c:pt>
                <c:pt idx="61">
                  <c:v>65.442000000000007</c:v>
                </c:pt>
                <c:pt idx="62">
                  <c:v>67.713999999999999</c:v>
                </c:pt>
                <c:pt idx="63">
                  <c:v>69.986000000000018</c:v>
                </c:pt>
                <c:pt idx="64">
                  <c:v>72.25800000000001</c:v>
                </c:pt>
                <c:pt idx="65">
                  <c:v>74.53</c:v>
                </c:pt>
                <c:pt idx="66">
                  <c:v>76.802000000000021</c:v>
                </c:pt>
                <c:pt idx="67">
                  <c:v>79.074000000000012</c:v>
                </c:pt>
                <c:pt idx="68">
                  <c:v>81.346000000000004</c:v>
                </c:pt>
                <c:pt idx="69">
                  <c:v>83.618000000000023</c:v>
                </c:pt>
                <c:pt idx="70">
                  <c:v>85.890000000000015</c:v>
                </c:pt>
                <c:pt idx="71">
                  <c:v>88.162000000000006</c:v>
                </c:pt>
                <c:pt idx="72">
                  <c:v>90.433999999999997</c:v>
                </c:pt>
                <c:pt idx="73">
                  <c:v>92.706000000000017</c:v>
                </c:pt>
                <c:pt idx="74">
                  <c:v>94.978000000000009</c:v>
                </c:pt>
                <c:pt idx="75">
                  <c:v>97.25</c:v>
                </c:pt>
                <c:pt idx="76">
                  <c:v>99.52200000000002</c:v>
                </c:pt>
                <c:pt idx="77">
                  <c:v>101.79400000000001</c:v>
                </c:pt>
                <c:pt idx="78">
                  <c:v>104.066</c:v>
                </c:pt>
                <c:pt idx="79">
                  <c:v>106.33800000000002</c:v>
                </c:pt>
                <c:pt idx="80">
                  <c:v>108.61000000000001</c:v>
                </c:pt>
                <c:pt idx="81">
                  <c:v>110.88200000000001</c:v>
                </c:pt>
                <c:pt idx="82">
                  <c:v>113.15400000000002</c:v>
                </c:pt>
                <c:pt idx="83">
                  <c:v>115.42600000000002</c:v>
                </c:pt>
                <c:pt idx="84">
                  <c:v>117.69800000000001</c:v>
                </c:pt>
                <c:pt idx="85">
                  <c:v>119.97000000000003</c:v>
                </c:pt>
                <c:pt idx="86">
                  <c:v>122.24200000000002</c:v>
                </c:pt>
                <c:pt idx="87">
                  <c:v>124.51400000000001</c:v>
                </c:pt>
                <c:pt idx="88">
                  <c:v>126.78600000000003</c:v>
                </c:pt>
                <c:pt idx="89">
                  <c:v>129.05800000000002</c:v>
                </c:pt>
                <c:pt idx="90">
                  <c:v>131.33000000000001</c:v>
                </c:pt>
                <c:pt idx="91">
                  <c:v>133.602</c:v>
                </c:pt>
                <c:pt idx="92">
                  <c:v>135.87400000000002</c:v>
                </c:pt>
                <c:pt idx="93">
                  <c:v>138.14600000000002</c:v>
                </c:pt>
                <c:pt idx="94">
                  <c:v>140.41800000000001</c:v>
                </c:pt>
                <c:pt idx="95">
                  <c:v>142.69000000000003</c:v>
                </c:pt>
                <c:pt idx="96">
                  <c:v>144.96200000000002</c:v>
                </c:pt>
                <c:pt idx="97">
                  <c:v>147.23400000000001</c:v>
                </c:pt>
                <c:pt idx="98">
                  <c:v>149.50600000000003</c:v>
                </c:pt>
                <c:pt idx="99">
                  <c:v>151.77800000000002</c:v>
                </c:pt>
                <c:pt idx="100">
                  <c:v>154.05000000000001</c:v>
                </c:pt>
              </c:numCache>
            </c:numRef>
          </c:yVal>
          <c:smooth val="1"/>
          <c:extLst>
            <c:ext xmlns:c16="http://schemas.microsoft.com/office/drawing/2014/chart" uri="{C3380CC4-5D6E-409C-BE32-E72D297353CC}">
              <c16:uniqueId val="{00000000-7E5E-419D-93A1-DB1EBC8CC958}"/>
            </c:ext>
          </c:extLst>
        </c:ser>
        <c:ser>
          <c:idx val="1"/>
          <c:order val="1"/>
          <c:spPr>
            <a:ln w="12700" cap="rnd">
              <a:solidFill>
                <a:schemeClr val="tx1"/>
              </a:solidFill>
              <a:round/>
            </a:ln>
            <a:effectLst/>
          </c:spPr>
          <c:marker>
            <c:symbol val="none"/>
          </c:marker>
          <c:xVal>
            <c:numRef>
              <c:f>'R245fa_Ts'!$E$8:$E$108</c:f>
              <c:numCache>
                <c:formatCode>General</c:formatCode>
                <c:ptCount val="101"/>
                <c:pt idx="0">
                  <c:v>3.0593967746402308E-2</c:v>
                </c:pt>
                <c:pt idx="1">
                  <c:v>2.5141181805087318E-2</c:v>
                </c:pt>
                <c:pt idx="2">
                  <c:v>1.9989446442260361E-2</c:v>
                </c:pt>
                <c:pt idx="3">
                  <c:v>1.5127472453032836E-2</c:v>
                </c:pt>
                <c:pt idx="4">
                  <c:v>1.0544450499345204E-2</c:v>
                </c:pt>
                <c:pt idx="5">
                  <c:v>6.2300230170076786E-3</c:v>
                </c:pt>
                <c:pt idx="6">
                  <c:v>2.1742580593112956E-3</c:v>
                </c:pt>
                <c:pt idx="7">
                  <c:v>-1.6323750568928114E-3</c:v>
                </c:pt>
                <c:pt idx="8">
                  <c:v>-5.1990284272984055E-3</c:v>
                </c:pt>
                <c:pt idx="9">
                  <c:v>-8.5344966746637822E-3</c:v>
                </c:pt>
                <c:pt idx="10">
                  <c:v>-1.1647236610411421E-2</c:v>
                </c:pt>
                <c:pt idx="11">
                  <c:v>-1.4545385545160492E-2</c:v>
                </c:pt>
                <c:pt idx="12">
                  <c:v>-1.7236778343848611E-2</c:v>
                </c:pt>
                <c:pt idx="13">
                  <c:v>-1.9728963315419394E-2</c:v>
                </c:pt>
                <c:pt idx="14">
                  <c:v>-2.2029217021802529E-2</c:v>
                </c:pt>
                <c:pt idx="15">
                  <c:v>-2.4144558086023355E-2</c:v>
                </c:pt>
                <c:pt idx="16">
                  <c:v>-2.6081760074688334E-2</c:v>
                </c:pt>
                <c:pt idx="17">
                  <c:v>-2.7847363525733731E-2</c:v>
                </c:pt>
                <c:pt idx="18">
                  <c:v>-2.9447687188200154E-2</c:v>
                </c:pt>
                <c:pt idx="19">
                  <c:v>-3.0888838536815864E-2</c:v>
                </c:pt>
                <c:pt idx="20">
                  <c:v>-3.2176723620390368E-2</c:v>
                </c:pt>
                <c:pt idx="21">
                  <c:v>-3.3317056299336019E-2</c:v>
                </c:pt>
                <c:pt idx="22">
                  <c:v>-3.4315366924138523E-2</c:v>
                </c:pt>
                <c:pt idx="23">
                  <c:v>-3.5177010503180485E-2</c:v>
                </c:pt>
                <c:pt idx="24">
                  <c:v>-3.5907174405083828E-2</c:v>
                </c:pt>
                <c:pt idx="25">
                  <c:v>-3.6510885637601062E-2</c:v>
                </c:pt>
                <c:pt idx="26">
                  <c:v>-3.6993017742106858E-2</c:v>
                </c:pt>
                <c:pt idx="27">
                  <c:v>-3.7358297339899857E-2</c:v>
                </c:pt>
                <c:pt idx="28">
                  <c:v>-3.7611310363836269E-2</c:v>
                </c:pt>
                <c:pt idx="29">
                  <c:v>-3.7756508006290102E-2</c:v>
                </c:pt>
                <c:pt idx="30">
                  <c:v>-3.7798212412061903E-2</c:v>
                </c:pt>
                <c:pt idx="31">
                  <c:v>-3.7740622142658865E-2</c:v>
                </c:pt>
                <c:pt idx="32">
                  <c:v>-3.7587817436340418E-2</c:v>
                </c:pt>
                <c:pt idx="33">
                  <c:v>-3.734376528646894E-2</c:v>
                </c:pt>
                <c:pt idx="34">
                  <c:v>-3.7012324359027945E-2</c:v>
                </c:pt>
                <c:pt idx="35">
                  <c:v>-3.6597249768668245E-2</c:v>
                </c:pt>
                <c:pt idx="36">
                  <c:v>-3.6102197731326349E-2</c:v>
                </c:pt>
                <c:pt idx="37">
                  <c:v>-3.5530730110320194E-2</c:v>
                </c:pt>
                <c:pt idx="38">
                  <c:v>-3.4886318871859286E-2</c:v>
                </c:pt>
                <c:pt idx="39">
                  <c:v>-3.4172350465139348E-2</c:v>
                </c:pt>
                <c:pt idx="40">
                  <c:v>-3.3392130141577811E-2</c:v>
                </c:pt>
                <c:pt idx="41">
                  <c:v>-3.2548886227340958E-2</c:v>
                </c:pt>
                <c:pt idx="42">
                  <c:v>-3.1645774363071318E-2</c:v>
                </c:pt>
                <c:pt idx="43">
                  <c:v>-3.0685881724688679E-2</c:v>
                </c:pt>
                <c:pt idx="44">
                  <c:v>-2.9672231239270579E-2</c:v>
                </c:pt>
                <c:pt idx="45">
                  <c:v>-2.8607785810384447E-2</c:v>
                </c:pt>
                <c:pt idx="46">
                  <c:v>-2.7495452567790776E-2</c:v>
                </c:pt>
                <c:pt idx="47">
                  <c:v>-2.6338087157230652E-2</c:v>
                </c:pt>
                <c:pt idx="48">
                  <c:v>-2.5138498087034711E-2</c:v>
                </c:pt>
                <c:pt idx="49">
                  <c:v>-2.3899451149595186E-2</c:v>
                </c:pt>
                <c:pt idx="50">
                  <c:v>-2.2623673937327969E-2</c:v>
                </c:pt>
                <c:pt idx="51">
                  <c:v>-2.131386047467905E-2</c:v>
                </c:pt>
                <c:pt idx="52">
                  <c:v>-1.9972675990032912E-2</c:v>
                </c:pt>
                <c:pt idx="53">
                  <c:v>-1.8602761854112134E-2</c:v>
                </c:pt>
                <c:pt idx="54">
                  <c:v>-1.7206740714685302E-2</c:v>
                </c:pt>
                <c:pt idx="55">
                  <c:v>-1.5787221861230692E-2</c:v>
                </c:pt>
                <c:pt idx="56">
                  <c:v>-1.4346806857683614E-2</c:v>
                </c:pt>
                <c:pt idx="57">
                  <c:v>-1.2888095486727525E-2</c:v>
                </c:pt>
                <c:pt idx="58">
                  <c:v>-1.1413692055350423E-2</c:v>
                </c:pt>
                <c:pt idx="59">
                  <c:v>-9.9262121188338232E-3</c:v>
                </c:pt>
                <c:pt idx="60">
                  <c:v>-8.4282896891580156E-3</c:v>
                </c:pt>
                <c:pt idx="61">
                  <c:v>-6.9225850043328355E-3</c:v>
                </c:pt>
                <c:pt idx="62">
                  <c:v>-5.4117929477187372E-3</c:v>
                </c:pt>
                <c:pt idx="63">
                  <c:v>-3.8986522214911382E-3</c:v>
                </c:pt>
                <c:pt idx="64">
                  <c:v>-2.3859553965763945E-3</c:v>
                </c:pt>
                <c:pt idx="65">
                  <c:v>-8.7655998338392177E-4</c:v>
                </c:pt>
                <c:pt idx="66">
                  <c:v>6.2659930556850619E-4</c:v>
                </c:pt>
                <c:pt idx="67">
                  <c:v>2.1204968973117014E-3</c:v>
                </c:pt>
                <c:pt idx="68">
                  <c:v>3.6020010602948395E-3</c:v>
                </c:pt>
                <c:pt idx="69">
                  <c:v>5.0678566726262784E-3</c:v>
                </c:pt>
                <c:pt idx="70">
                  <c:v>6.5146657008978339E-3</c:v>
                </c:pt>
                <c:pt idx="71">
                  <c:v>7.9388649562255297E-3</c:v>
                </c:pt>
                <c:pt idx="72">
                  <c:v>9.3367005962534041E-3</c:v>
                </c:pt>
                <c:pt idx="73">
                  <c:v>1.0704198717487727E-2</c:v>
                </c:pt>
                <c:pt idx="74">
                  <c:v>1.2037131222976852E-2</c:v>
                </c:pt>
                <c:pt idx="75">
                  <c:v>1.333097594449131E-2</c:v>
                </c:pt>
                <c:pt idx="76">
                  <c:v>1.4580869729953648E-2</c:v>
                </c:pt>
                <c:pt idx="77">
                  <c:v>1.5781552853473244E-2</c:v>
                </c:pt>
                <c:pt idx="78">
                  <c:v>1.6927302635160461E-2</c:v>
                </c:pt>
                <c:pt idx="79">
                  <c:v>1.8011853525067928E-2</c:v>
                </c:pt>
                <c:pt idx="80">
                  <c:v>1.9028300043413288E-2</c:v>
                </c:pt>
                <c:pt idx="81">
                  <c:v>1.9968977778542091E-2</c:v>
                </c:pt>
                <c:pt idx="82">
                  <c:v>2.0825315975496264E-2</c:v>
                </c:pt>
                <c:pt idx="83">
                  <c:v>2.1587652871835498E-2</c:v>
                </c:pt>
                <c:pt idx="84">
                  <c:v>2.2245001492918661E-2</c:v>
                </c:pt>
                <c:pt idx="85">
                  <c:v>2.2784748527076511E-2</c:v>
                </c:pt>
                <c:pt idx="86">
                  <c:v>2.3192261207956064E-2</c:v>
                </c:pt>
                <c:pt idx="87">
                  <c:v>2.3450365219634374E-2</c:v>
                </c:pt>
                <c:pt idx="88">
                  <c:v>2.3538637679957147E-2</c:v>
                </c:pt>
                <c:pt idx="89">
                  <c:v>2.3432428113481323E-2</c:v>
                </c:pt>
                <c:pt idx="90">
                  <c:v>2.310146728414561E-2</c:v>
                </c:pt>
                <c:pt idx="91">
                  <c:v>2.2507829544543886E-2</c:v>
                </c:pt>
                <c:pt idx="92">
                  <c:v>2.1602838514907272E-2</c:v>
                </c:pt>
                <c:pt idx="93">
                  <c:v>2.0322157633041762E-2</c:v>
                </c:pt>
                <c:pt idx="94">
                  <c:v>1.8577565416438954E-2</c:v>
                </c:pt>
                <c:pt idx="95">
                  <c:v>1.6242185020099182E-2</c:v>
                </c:pt>
                <c:pt idx="96">
                  <c:v>1.3121393207193856E-2</c:v>
                </c:pt>
                <c:pt idx="97">
                  <c:v>8.8875930961796121E-3</c:v>
                </c:pt>
                <c:pt idx="98">
                  <c:v>2.901794570256713E-3</c:v>
                </c:pt>
                <c:pt idx="99">
                  <c:v>-6.4869983873010045E-3</c:v>
                </c:pt>
                <c:pt idx="100">
                  <c:v>-3.5254123353201987E-2</c:v>
                </c:pt>
              </c:numCache>
            </c:numRef>
          </c:xVal>
          <c:yVal>
            <c:numRef>
              <c:f>'R245fa_Ts'!$F$8:$F$108</c:f>
              <c:numCache>
                <c:formatCode>General</c:formatCode>
                <c:ptCount val="101"/>
                <c:pt idx="0">
                  <c:v>-73.150000000000006</c:v>
                </c:pt>
                <c:pt idx="1">
                  <c:v>-70.878</c:v>
                </c:pt>
                <c:pt idx="2">
                  <c:v>-68.606000000000009</c:v>
                </c:pt>
                <c:pt idx="3">
                  <c:v>-66.334000000000003</c:v>
                </c:pt>
                <c:pt idx="4">
                  <c:v>-64.062000000000012</c:v>
                </c:pt>
                <c:pt idx="5">
                  <c:v>-61.790000000000006</c:v>
                </c:pt>
                <c:pt idx="6">
                  <c:v>-59.518000000000001</c:v>
                </c:pt>
                <c:pt idx="7">
                  <c:v>-57.246000000000002</c:v>
                </c:pt>
                <c:pt idx="8">
                  <c:v>-54.974000000000004</c:v>
                </c:pt>
                <c:pt idx="9">
                  <c:v>-52.702000000000005</c:v>
                </c:pt>
                <c:pt idx="10">
                  <c:v>-50.430000000000007</c:v>
                </c:pt>
                <c:pt idx="11">
                  <c:v>-48.158000000000001</c:v>
                </c:pt>
                <c:pt idx="12">
                  <c:v>-45.886000000000003</c:v>
                </c:pt>
                <c:pt idx="13">
                  <c:v>-43.614000000000004</c:v>
                </c:pt>
                <c:pt idx="14">
                  <c:v>-41.341999999999999</c:v>
                </c:pt>
                <c:pt idx="15">
                  <c:v>-39.07</c:v>
                </c:pt>
                <c:pt idx="16">
                  <c:v>-36.798000000000002</c:v>
                </c:pt>
                <c:pt idx="17">
                  <c:v>-34.526000000000003</c:v>
                </c:pt>
                <c:pt idx="18">
                  <c:v>-32.254000000000005</c:v>
                </c:pt>
                <c:pt idx="19">
                  <c:v>-29.981999999999999</c:v>
                </c:pt>
                <c:pt idx="20">
                  <c:v>-27.71</c:v>
                </c:pt>
                <c:pt idx="21">
                  <c:v>-25.438000000000002</c:v>
                </c:pt>
                <c:pt idx="22">
                  <c:v>-23.165999999999997</c:v>
                </c:pt>
                <c:pt idx="23">
                  <c:v>-20.893999999999998</c:v>
                </c:pt>
                <c:pt idx="24">
                  <c:v>-18.622</c:v>
                </c:pt>
                <c:pt idx="25">
                  <c:v>-16.350000000000001</c:v>
                </c:pt>
                <c:pt idx="26">
                  <c:v>-14.078000000000003</c:v>
                </c:pt>
                <c:pt idx="27">
                  <c:v>-11.805999999999997</c:v>
                </c:pt>
                <c:pt idx="28">
                  <c:v>-9.5339999999999989</c:v>
                </c:pt>
                <c:pt idx="29">
                  <c:v>-7.2620000000000005</c:v>
                </c:pt>
                <c:pt idx="30">
                  <c:v>-4.9899999999999949</c:v>
                </c:pt>
                <c:pt idx="31">
                  <c:v>-2.7180000000000035</c:v>
                </c:pt>
                <c:pt idx="32">
                  <c:v>-0.44599999999999795</c:v>
                </c:pt>
                <c:pt idx="33">
                  <c:v>1.8260000000000076</c:v>
                </c:pt>
                <c:pt idx="34">
                  <c:v>4.097999999999999</c:v>
                </c:pt>
                <c:pt idx="35">
                  <c:v>6.3700000000000045</c:v>
                </c:pt>
                <c:pt idx="36">
                  <c:v>8.6419999999999959</c:v>
                </c:pt>
                <c:pt idx="37">
                  <c:v>10.914000000000001</c:v>
                </c:pt>
                <c:pt idx="38">
                  <c:v>13.186000000000007</c:v>
                </c:pt>
                <c:pt idx="39">
                  <c:v>15.457999999999998</c:v>
                </c:pt>
                <c:pt idx="40">
                  <c:v>17.730000000000004</c:v>
                </c:pt>
                <c:pt idx="41">
                  <c:v>20.00200000000001</c:v>
                </c:pt>
                <c:pt idx="42">
                  <c:v>22.274000000000001</c:v>
                </c:pt>
                <c:pt idx="43">
                  <c:v>24.546000000000006</c:v>
                </c:pt>
                <c:pt idx="44">
                  <c:v>26.818000000000012</c:v>
                </c:pt>
                <c:pt idx="45">
                  <c:v>29.090000000000003</c:v>
                </c:pt>
                <c:pt idx="46">
                  <c:v>31.362000000000009</c:v>
                </c:pt>
                <c:pt idx="47">
                  <c:v>33.634</c:v>
                </c:pt>
                <c:pt idx="48">
                  <c:v>35.906000000000006</c:v>
                </c:pt>
                <c:pt idx="49">
                  <c:v>38.178000000000011</c:v>
                </c:pt>
                <c:pt idx="50">
                  <c:v>40.450000000000003</c:v>
                </c:pt>
                <c:pt idx="51">
                  <c:v>42.722000000000008</c:v>
                </c:pt>
                <c:pt idx="52">
                  <c:v>44.994</c:v>
                </c:pt>
                <c:pt idx="53">
                  <c:v>47.266000000000005</c:v>
                </c:pt>
                <c:pt idx="54">
                  <c:v>49.538000000000011</c:v>
                </c:pt>
                <c:pt idx="55">
                  <c:v>51.81</c:v>
                </c:pt>
                <c:pt idx="56">
                  <c:v>54.082000000000008</c:v>
                </c:pt>
                <c:pt idx="57">
                  <c:v>56.354000000000013</c:v>
                </c:pt>
                <c:pt idx="58">
                  <c:v>58.626000000000005</c:v>
                </c:pt>
                <c:pt idx="59">
                  <c:v>60.897999999999996</c:v>
                </c:pt>
                <c:pt idx="60">
                  <c:v>63.170000000000016</c:v>
                </c:pt>
                <c:pt idx="61">
                  <c:v>65.442000000000007</c:v>
                </c:pt>
                <c:pt idx="62">
                  <c:v>67.713999999999999</c:v>
                </c:pt>
                <c:pt idx="63">
                  <c:v>69.986000000000018</c:v>
                </c:pt>
                <c:pt idx="64">
                  <c:v>72.25800000000001</c:v>
                </c:pt>
                <c:pt idx="65">
                  <c:v>74.53</c:v>
                </c:pt>
                <c:pt idx="66">
                  <c:v>76.802000000000021</c:v>
                </c:pt>
                <c:pt idx="67">
                  <c:v>79.074000000000012</c:v>
                </c:pt>
                <c:pt idx="68">
                  <c:v>81.346000000000004</c:v>
                </c:pt>
                <c:pt idx="69">
                  <c:v>83.618000000000023</c:v>
                </c:pt>
                <c:pt idx="70">
                  <c:v>85.890000000000015</c:v>
                </c:pt>
                <c:pt idx="71">
                  <c:v>88.162000000000006</c:v>
                </c:pt>
                <c:pt idx="72">
                  <c:v>90.433999999999997</c:v>
                </c:pt>
                <c:pt idx="73">
                  <c:v>92.706000000000017</c:v>
                </c:pt>
                <c:pt idx="74">
                  <c:v>94.978000000000009</c:v>
                </c:pt>
                <c:pt idx="75">
                  <c:v>97.25</c:v>
                </c:pt>
                <c:pt idx="76">
                  <c:v>99.52200000000002</c:v>
                </c:pt>
                <c:pt idx="77">
                  <c:v>101.79400000000001</c:v>
                </c:pt>
                <c:pt idx="78">
                  <c:v>104.066</c:v>
                </c:pt>
                <c:pt idx="79">
                  <c:v>106.33800000000002</c:v>
                </c:pt>
                <c:pt idx="80">
                  <c:v>108.61000000000001</c:v>
                </c:pt>
                <c:pt idx="81">
                  <c:v>110.88200000000001</c:v>
                </c:pt>
                <c:pt idx="82">
                  <c:v>113.15400000000002</c:v>
                </c:pt>
                <c:pt idx="83">
                  <c:v>115.42600000000002</c:v>
                </c:pt>
                <c:pt idx="84">
                  <c:v>117.69800000000001</c:v>
                </c:pt>
                <c:pt idx="85">
                  <c:v>119.97000000000003</c:v>
                </c:pt>
                <c:pt idx="86">
                  <c:v>122.24200000000002</c:v>
                </c:pt>
                <c:pt idx="87">
                  <c:v>124.51400000000001</c:v>
                </c:pt>
                <c:pt idx="88">
                  <c:v>126.78600000000003</c:v>
                </c:pt>
                <c:pt idx="89">
                  <c:v>129.05800000000002</c:v>
                </c:pt>
                <c:pt idx="90">
                  <c:v>131.33000000000001</c:v>
                </c:pt>
                <c:pt idx="91">
                  <c:v>133.602</c:v>
                </c:pt>
                <c:pt idx="92">
                  <c:v>135.87400000000002</c:v>
                </c:pt>
                <c:pt idx="93">
                  <c:v>138.14600000000002</c:v>
                </c:pt>
                <c:pt idx="94">
                  <c:v>140.41800000000001</c:v>
                </c:pt>
                <c:pt idx="95">
                  <c:v>142.69000000000003</c:v>
                </c:pt>
                <c:pt idx="96">
                  <c:v>144.96200000000002</c:v>
                </c:pt>
                <c:pt idx="97">
                  <c:v>147.23400000000001</c:v>
                </c:pt>
                <c:pt idx="98">
                  <c:v>149.50600000000003</c:v>
                </c:pt>
                <c:pt idx="99">
                  <c:v>151.77800000000002</c:v>
                </c:pt>
                <c:pt idx="100">
                  <c:v>154.05000000000001</c:v>
                </c:pt>
              </c:numCache>
            </c:numRef>
          </c:yVal>
          <c:smooth val="1"/>
          <c:extLst>
            <c:ext xmlns:c16="http://schemas.microsoft.com/office/drawing/2014/chart" uri="{C3380CC4-5D6E-409C-BE32-E72D297353CC}">
              <c16:uniqueId val="{00000001-7E5E-419D-93A1-DB1EBC8CC958}"/>
            </c:ext>
          </c:extLst>
        </c:ser>
        <c:ser>
          <c:idx val="2"/>
          <c:order val="2"/>
          <c:tx>
            <c:strRef>
              <c:f>'R245fa_Ts'!$X$20:$Y$20</c:f>
              <c:strCache>
                <c:ptCount val="1"/>
                <c:pt idx="0">
                  <c:v>Rek.Hcs_prim</c:v>
                </c:pt>
              </c:strCache>
            </c:strRef>
          </c:tx>
          <c:spPr>
            <a:ln w="19050" cap="rnd">
              <a:solidFill>
                <a:srgbClr val="FF0000"/>
              </a:solidFill>
              <a:round/>
            </a:ln>
            <a:effectLst/>
          </c:spPr>
          <c:marker>
            <c:symbol val="none"/>
          </c:marker>
          <c:xVal>
            <c:numRef>
              <c:f>'R245fa_Ts'!$X$22:$X$23</c:f>
              <c:numCache>
                <c:formatCode>General</c:formatCode>
                <c:ptCount val="2"/>
                <c:pt idx="0">
                  <c:v>-0.66910000000000003</c:v>
                </c:pt>
                <c:pt idx="1">
                  <c:v>-0.62580000000000002</c:v>
                </c:pt>
              </c:numCache>
            </c:numRef>
          </c:xVal>
          <c:yVal>
            <c:numRef>
              <c:f>'R245fa_Ts'!$Y$22:$Y$23</c:f>
              <c:numCache>
                <c:formatCode>General</c:formatCode>
                <c:ptCount val="2"/>
                <c:pt idx="0">
                  <c:v>25.14</c:v>
                </c:pt>
                <c:pt idx="1">
                  <c:v>35.26</c:v>
                </c:pt>
              </c:numCache>
            </c:numRef>
          </c:yVal>
          <c:smooth val="1"/>
          <c:extLst>
            <c:ext xmlns:c16="http://schemas.microsoft.com/office/drawing/2014/chart" uri="{C3380CC4-5D6E-409C-BE32-E72D297353CC}">
              <c16:uniqueId val="{00000002-7E5E-419D-93A1-DB1EBC8CC958}"/>
            </c:ext>
          </c:extLst>
        </c:ser>
        <c:ser>
          <c:idx val="3"/>
          <c:order val="3"/>
          <c:tx>
            <c:strRef>
              <c:f>'R245fa_Ts'!$J$20:$K$20</c:f>
              <c:strCache>
                <c:ptCount val="1"/>
                <c:pt idx="0">
                  <c:v>HCS1</c:v>
                </c:pt>
              </c:strCache>
            </c:strRef>
          </c:tx>
          <c:spPr>
            <a:ln w="19050" cap="rnd">
              <a:solidFill>
                <a:srgbClr val="FF0000"/>
              </a:solidFill>
              <a:round/>
            </a:ln>
            <a:effectLst/>
          </c:spPr>
          <c:marker>
            <c:symbol val="none"/>
          </c:marker>
          <c:xVal>
            <c:numRef>
              <c:f>'R245fa_Ts'!$J$22:$J$23</c:f>
              <c:numCache>
                <c:formatCode>General</c:formatCode>
                <c:ptCount val="2"/>
                <c:pt idx="0">
                  <c:v>-0.62580000000000002</c:v>
                </c:pt>
                <c:pt idx="1">
                  <c:v>-0.56320000000000003</c:v>
                </c:pt>
              </c:numCache>
            </c:numRef>
          </c:xVal>
          <c:yVal>
            <c:numRef>
              <c:f>'R245fa_Ts'!$K$22:$K$23</c:f>
              <c:numCache>
                <c:formatCode>General</c:formatCode>
                <c:ptCount val="2"/>
                <c:pt idx="0">
                  <c:v>35.26</c:v>
                </c:pt>
                <c:pt idx="1">
                  <c:v>50</c:v>
                </c:pt>
              </c:numCache>
            </c:numRef>
          </c:yVal>
          <c:smooth val="1"/>
          <c:extLst>
            <c:ext xmlns:c16="http://schemas.microsoft.com/office/drawing/2014/chart" uri="{C3380CC4-5D6E-409C-BE32-E72D297353CC}">
              <c16:uniqueId val="{00000003-7E5E-419D-93A1-DB1EBC8CC958}"/>
            </c:ext>
          </c:extLst>
        </c:ser>
        <c:ser>
          <c:idx val="4"/>
          <c:order val="4"/>
          <c:tx>
            <c:strRef>
              <c:f>'R245fa_Ts'!$L$20:$M$20</c:f>
              <c:strCache>
                <c:ptCount val="1"/>
                <c:pt idx="0">
                  <c:v>HCS2</c:v>
                </c:pt>
              </c:strCache>
            </c:strRef>
          </c:tx>
          <c:spPr>
            <a:ln w="19050" cap="rnd">
              <a:solidFill>
                <a:schemeClr val="accent5"/>
              </a:solidFill>
              <a:round/>
            </a:ln>
            <a:effectLst/>
          </c:spPr>
          <c:marker>
            <c:symbol val="none"/>
          </c:marker>
          <c:dPt>
            <c:idx val="1"/>
            <c:marker>
              <c:symbol val="none"/>
            </c:marker>
            <c:bubble3D val="0"/>
            <c:spPr>
              <a:ln w="19050" cap="rnd">
                <a:solidFill>
                  <a:srgbClr val="FF0000"/>
                </a:solidFill>
                <a:round/>
              </a:ln>
              <a:effectLst/>
            </c:spPr>
            <c:extLst>
              <c:ext xmlns:c16="http://schemas.microsoft.com/office/drawing/2014/chart" uri="{C3380CC4-5D6E-409C-BE32-E72D297353CC}">
                <c16:uniqueId val="{00000005-7E5E-419D-93A1-DB1EBC8CC958}"/>
              </c:ext>
            </c:extLst>
          </c:dPt>
          <c:xVal>
            <c:numRef>
              <c:f>'R245fa_Ts'!$L$22:$L$23</c:f>
              <c:numCache>
                <c:formatCode>General</c:formatCode>
                <c:ptCount val="2"/>
                <c:pt idx="0">
                  <c:v>-0.56320000000000003</c:v>
                </c:pt>
                <c:pt idx="1">
                  <c:v>-0.52080000000000004</c:v>
                </c:pt>
              </c:numCache>
            </c:numRef>
          </c:xVal>
          <c:yVal>
            <c:numRef>
              <c:f>'R245fa_Ts'!$M$22:$M$23</c:f>
              <c:numCache>
                <c:formatCode>General</c:formatCode>
                <c:ptCount val="2"/>
                <c:pt idx="0">
                  <c:v>50</c:v>
                </c:pt>
                <c:pt idx="1">
                  <c:v>60</c:v>
                </c:pt>
              </c:numCache>
            </c:numRef>
          </c:yVal>
          <c:smooth val="1"/>
          <c:extLst>
            <c:ext xmlns:c16="http://schemas.microsoft.com/office/drawing/2014/chart" uri="{C3380CC4-5D6E-409C-BE32-E72D297353CC}">
              <c16:uniqueId val="{00000006-7E5E-419D-93A1-DB1EBC8CC958}"/>
            </c:ext>
          </c:extLst>
        </c:ser>
        <c:ser>
          <c:idx val="5"/>
          <c:order val="5"/>
          <c:tx>
            <c:v>HCS3_1</c:v>
          </c:tx>
          <c:spPr>
            <a:ln w="19050" cap="rnd">
              <a:solidFill>
                <a:srgbClr val="FF0000"/>
              </a:solidFill>
              <a:round/>
            </a:ln>
            <a:effectLst/>
          </c:spPr>
          <c:marker>
            <c:symbol val="none"/>
          </c:marker>
          <c:xVal>
            <c:numRef>
              <c:f>'R245fa_Ts'!$N$22:$N$23</c:f>
              <c:numCache>
                <c:formatCode>General</c:formatCode>
                <c:ptCount val="2"/>
                <c:pt idx="0">
                  <c:v>-0.52080000000000004</c:v>
                </c:pt>
                <c:pt idx="1">
                  <c:v>-0.49941610424173211</c:v>
                </c:pt>
              </c:numCache>
            </c:numRef>
          </c:xVal>
          <c:yVal>
            <c:numRef>
              <c:f>'R245fa_Ts'!$O$22:$O$23</c:f>
              <c:numCache>
                <c:formatCode>General</c:formatCode>
                <c:ptCount val="2"/>
                <c:pt idx="0">
                  <c:v>60</c:v>
                </c:pt>
                <c:pt idx="1">
                  <c:v>65.03</c:v>
                </c:pt>
              </c:numCache>
            </c:numRef>
          </c:yVal>
          <c:smooth val="1"/>
          <c:extLst>
            <c:ext xmlns:c16="http://schemas.microsoft.com/office/drawing/2014/chart" uri="{C3380CC4-5D6E-409C-BE32-E72D297353CC}">
              <c16:uniqueId val="{00000007-7E5E-419D-93A1-DB1EBC8CC958}"/>
            </c:ext>
          </c:extLst>
        </c:ser>
        <c:ser>
          <c:idx val="6"/>
          <c:order val="6"/>
          <c:tx>
            <c:v>HCS3_2</c:v>
          </c:tx>
          <c:spPr>
            <a:ln w="19050" cap="rnd">
              <a:solidFill>
                <a:srgbClr val="FF0000"/>
              </a:solidFill>
              <a:round/>
            </a:ln>
            <a:effectLst/>
          </c:spPr>
          <c:marker>
            <c:symbol val="none"/>
          </c:marker>
          <c:xVal>
            <c:numRef>
              <c:f>'R245fa_Ts'!$N$23:$N$24</c:f>
              <c:numCache>
                <c:formatCode>General</c:formatCode>
                <c:ptCount val="2"/>
                <c:pt idx="0">
                  <c:v>-0.49941610424173211</c:v>
                </c:pt>
                <c:pt idx="1">
                  <c:v>-7.1999999999999998E-3</c:v>
                </c:pt>
              </c:numCache>
            </c:numRef>
          </c:xVal>
          <c:yVal>
            <c:numRef>
              <c:f>'R245fa_Ts'!$O$23:$O$24</c:f>
              <c:numCache>
                <c:formatCode>General</c:formatCode>
                <c:ptCount val="2"/>
                <c:pt idx="0">
                  <c:v>65.03</c:v>
                </c:pt>
                <c:pt idx="1">
                  <c:v>65.03</c:v>
                </c:pt>
              </c:numCache>
            </c:numRef>
          </c:yVal>
          <c:smooth val="1"/>
          <c:extLst>
            <c:ext xmlns:c16="http://schemas.microsoft.com/office/drawing/2014/chart" uri="{C3380CC4-5D6E-409C-BE32-E72D297353CC}">
              <c16:uniqueId val="{00000008-7E5E-419D-93A1-DB1EBC8CC958}"/>
            </c:ext>
          </c:extLst>
        </c:ser>
        <c:ser>
          <c:idx val="7"/>
          <c:order val="7"/>
          <c:tx>
            <c:strRef>
              <c:f>'R245fa_Ts'!$P$20:$Q$20</c:f>
              <c:strCache>
                <c:ptCount val="1"/>
                <c:pt idx="0">
                  <c:v>Turbi</c:v>
                </c:pt>
              </c:strCache>
            </c:strRef>
          </c:tx>
          <c:spPr>
            <a:ln w="19050" cap="rnd">
              <a:solidFill>
                <a:srgbClr val="FF0000"/>
              </a:solidFill>
              <a:round/>
            </a:ln>
            <a:effectLst/>
          </c:spPr>
          <c:marker>
            <c:symbol val="none"/>
          </c:marker>
          <c:xVal>
            <c:numRef>
              <c:f>'R245fa_Ts'!$P$22:$P$23</c:f>
              <c:numCache>
                <c:formatCode>General</c:formatCode>
                <c:ptCount val="2"/>
                <c:pt idx="0">
                  <c:v>-7.1999999999999998E-3</c:v>
                </c:pt>
                <c:pt idx="1">
                  <c:v>1.3899999999999999E-2</c:v>
                </c:pt>
              </c:numCache>
            </c:numRef>
          </c:xVal>
          <c:yVal>
            <c:numRef>
              <c:f>'R245fa_Ts'!$Q$22:$Q$23</c:f>
              <c:numCache>
                <c:formatCode>General</c:formatCode>
                <c:ptCount val="2"/>
                <c:pt idx="0">
                  <c:v>65.03</c:v>
                </c:pt>
                <c:pt idx="1">
                  <c:v>40.35</c:v>
                </c:pt>
              </c:numCache>
            </c:numRef>
          </c:yVal>
          <c:smooth val="1"/>
          <c:extLst>
            <c:ext xmlns:c16="http://schemas.microsoft.com/office/drawing/2014/chart" uri="{C3380CC4-5D6E-409C-BE32-E72D297353CC}">
              <c16:uniqueId val="{00000009-7E5E-419D-93A1-DB1EBC8CC958}"/>
            </c:ext>
          </c:extLst>
        </c:ser>
        <c:ser>
          <c:idx val="8"/>
          <c:order val="8"/>
          <c:tx>
            <c:strRef>
              <c:f>'R245fa_Ts'!$R$20:$S$20</c:f>
              <c:strCache>
                <c:ptCount val="1"/>
                <c:pt idx="0">
                  <c:v>Rek.Hcs_szek</c:v>
                </c:pt>
              </c:strCache>
            </c:strRef>
          </c:tx>
          <c:spPr>
            <a:ln w="19050" cap="rnd">
              <a:solidFill>
                <a:srgbClr val="FF0000"/>
              </a:solidFill>
              <a:round/>
            </a:ln>
            <a:effectLst/>
          </c:spPr>
          <c:marker>
            <c:symbol val="none"/>
          </c:marker>
          <c:xVal>
            <c:numRef>
              <c:f>'R245fa_Ts'!$R$22:$R$23</c:f>
              <c:numCache>
                <c:formatCode>General</c:formatCode>
                <c:ptCount val="2"/>
                <c:pt idx="0">
                  <c:v>1.3899999999999999E-2</c:v>
                </c:pt>
                <c:pt idx="1">
                  <c:v>-2.9000000000000001E-2</c:v>
                </c:pt>
              </c:numCache>
            </c:numRef>
          </c:xVal>
          <c:yVal>
            <c:numRef>
              <c:f>'R245fa_Ts'!$S$22:$S$23</c:f>
              <c:numCache>
                <c:formatCode>General</c:formatCode>
                <c:ptCount val="2"/>
                <c:pt idx="0">
                  <c:v>40.35</c:v>
                </c:pt>
                <c:pt idx="1">
                  <c:v>25</c:v>
                </c:pt>
              </c:numCache>
            </c:numRef>
          </c:yVal>
          <c:smooth val="1"/>
          <c:extLst>
            <c:ext xmlns:c16="http://schemas.microsoft.com/office/drawing/2014/chart" uri="{C3380CC4-5D6E-409C-BE32-E72D297353CC}">
              <c16:uniqueId val="{0000000A-7E5E-419D-93A1-DB1EBC8CC958}"/>
            </c:ext>
          </c:extLst>
        </c:ser>
        <c:ser>
          <c:idx val="9"/>
          <c:order val="9"/>
          <c:tx>
            <c:strRef>
              <c:f>'R245fa_Ts'!$T$20:$U$20</c:f>
              <c:strCache>
                <c:ptCount val="1"/>
                <c:pt idx="0">
                  <c:v>Kondi</c:v>
                </c:pt>
              </c:strCache>
            </c:strRef>
          </c:tx>
          <c:spPr>
            <a:ln w="19050" cap="rnd">
              <a:solidFill>
                <a:srgbClr val="FF0000"/>
              </a:solidFill>
              <a:round/>
            </a:ln>
            <a:effectLst/>
          </c:spPr>
          <c:marker>
            <c:symbol val="none"/>
          </c:marker>
          <c:xVal>
            <c:numRef>
              <c:f>'R245fa_Ts'!$T$22:$T$23</c:f>
              <c:numCache>
                <c:formatCode>General</c:formatCode>
                <c:ptCount val="2"/>
                <c:pt idx="0">
                  <c:v>-3.0487532301493075E-2</c:v>
                </c:pt>
                <c:pt idx="1">
                  <c:v>-0.66910000000000003</c:v>
                </c:pt>
              </c:numCache>
            </c:numRef>
          </c:xVal>
          <c:yVal>
            <c:numRef>
              <c:f>'R245fa_Ts'!$U$22:$U$23</c:f>
              <c:numCache>
                <c:formatCode>General</c:formatCode>
                <c:ptCount val="2"/>
                <c:pt idx="0">
                  <c:v>25</c:v>
                </c:pt>
                <c:pt idx="1">
                  <c:v>25</c:v>
                </c:pt>
              </c:numCache>
            </c:numRef>
          </c:yVal>
          <c:smooth val="1"/>
          <c:extLst>
            <c:ext xmlns:c16="http://schemas.microsoft.com/office/drawing/2014/chart" uri="{C3380CC4-5D6E-409C-BE32-E72D297353CC}">
              <c16:uniqueId val="{0000000B-7E5E-419D-93A1-DB1EBC8CC958}"/>
            </c:ext>
          </c:extLst>
        </c:ser>
        <c:ser>
          <c:idx val="10"/>
          <c:order val="10"/>
          <c:tx>
            <c:strRef>
              <c:f>'R245fa_Ts'!$V$20:$W$20</c:f>
              <c:strCache>
                <c:ptCount val="1"/>
                <c:pt idx="0">
                  <c:v>Sziv</c:v>
                </c:pt>
              </c:strCache>
            </c:strRef>
          </c:tx>
          <c:spPr>
            <a:ln w="19050" cap="rnd">
              <a:solidFill>
                <a:srgbClr val="FF0000"/>
              </a:solidFill>
              <a:round/>
            </a:ln>
            <a:effectLst/>
          </c:spPr>
          <c:marker>
            <c:symbol val="none"/>
          </c:marker>
          <c:xVal>
            <c:numRef>
              <c:f>'R245fa_Ts'!$V$22:$V$23</c:f>
              <c:numCache>
                <c:formatCode>General</c:formatCode>
                <c:ptCount val="2"/>
                <c:pt idx="0">
                  <c:v>-0.66910000000000003</c:v>
                </c:pt>
                <c:pt idx="1">
                  <c:v>-0.66910000000000003</c:v>
                </c:pt>
              </c:numCache>
            </c:numRef>
          </c:xVal>
          <c:yVal>
            <c:numRef>
              <c:f>'R245fa_Ts'!$W$22:$W$23</c:f>
              <c:numCache>
                <c:formatCode>General</c:formatCode>
                <c:ptCount val="2"/>
                <c:pt idx="0">
                  <c:v>25</c:v>
                </c:pt>
                <c:pt idx="1">
                  <c:v>25.14</c:v>
                </c:pt>
              </c:numCache>
            </c:numRef>
          </c:yVal>
          <c:smooth val="1"/>
          <c:extLst>
            <c:ext xmlns:c16="http://schemas.microsoft.com/office/drawing/2014/chart" uri="{C3380CC4-5D6E-409C-BE32-E72D297353CC}">
              <c16:uniqueId val="{0000000C-7E5E-419D-93A1-DB1EBC8CC958}"/>
            </c:ext>
          </c:extLst>
        </c:ser>
        <c:dLbls>
          <c:showLegendKey val="0"/>
          <c:showVal val="0"/>
          <c:showCatName val="0"/>
          <c:showSerName val="0"/>
          <c:showPercent val="0"/>
          <c:showBubbleSize val="0"/>
        </c:dLbls>
        <c:axId val="1459907312"/>
        <c:axId val="1459918960"/>
      </c:scatterChart>
      <c:valAx>
        <c:axId val="1459907312"/>
        <c:scaling>
          <c:orientation val="minMax"/>
          <c:min val="-1.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hu-HU"/>
                  <a:t>s [kJ/(kgK)]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1459918960"/>
        <c:crossesAt val="-100"/>
        <c:crossBetween val="midCat"/>
      </c:valAx>
      <c:valAx>
        <c:axId val="14599189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hu-HU"/>
                  <a:t>T [°C]</a:t>
                </a:r>
              </a:p>
            </c:rich>
          </c:tx>
          <c:layout>
            <c:manualLayout>
              <c:xMode val="edge"/>
              <c:yMode val="edge"/>
              <c:x val="2.2050716648291068E-2"/>
              <c:y val="0.375876591163369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1459907312"/>
        <c:crossesAt val="-1.2"/>
        <c:crossBetween val="midCat"/>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spcBef>
          <a:spcPts val="600"/>
        </a:spcBef>
        <a:defRPr>
          <a:latin typeface="Palatino Linotype" panose="0204050205050503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hu-HU"/>
              <a:t>R134a </a:t>
            </a:r>
            <a:r>
              <a:rPr lang="hu-HU" i="1"/>
              <a:t>T-s </a:t>
            </a:r>
            <a:r>
              <a:rPr lang="hu-HU"/>
              <a:t>diagram</a:t>
            </a:r>
          </a:p>
        </c:rich>
      </c:tx>
      <c:layout>
        <c:manualLayout>
          <c:xMode val="edge"/>
          <c:yMode val="edge"/>
          <c:x val="0.28600929126824759"/>
          <c:y val="3.07613432453217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en-US"/>
        </a:p>
      </c:txPr>
    </c:title>
    <c:autoTitleDeleted val="0"/>
    <c:plotArea>
      <c:layout/>
      <c:scatterChart>
        <c:scatterStyle val="smoothMarker"/>
        <c:varyColors val="0"/>
        <c:ser>
          <c:idx val="0"/>
          <c:order val="0"/>
          <c:spPr>
            <a:ln w="12700" cap="rnd">
              <a:solidFill>
                <a:schemeClr val="tx1"/>
              </a:solidFill>
              <a:round/>
            </a:ln>
            <a:effectLst/>
          </c:spPr>
          <c:marker>
            <c:symbol val="none"/>
          </c:marker>
          <c:dPt>
            <c:idx val="73"/>
            <c:marker>
              <c:symbol val="none"/>
            </c:marker>
            <c:bubble3D val="0"/>
            <c:spPr>
              <a:ln w="12700" cap="rnd">
                <a:solidFill>
                  <a:srgbClr val="FF0000"/>
                </a:solidFill>
                <a:round/>
              </a:ln>
              <a:effectLst/>
            </c:spPr>
            <c:extLst>
              <c:ext xmlns:c16="http://schemas.microsoft.com/office/drawing/2014/chart" uri="{C3380CC4-5D6E-409C-BE32-E72D297353CC}">
                <c16:uniqueId val="{00000001-0809-47EE-B645-C1D490615D0F}"/>
              </c:ext>
            </c:extLst>
          </c:dPt>
          <c:xVal>
            <c:numRef>
              <c:f>'R134a_Ts'!$B$8:$B$108</c:f>
              <c:numCache>
                <c:formatCode>General</c:formatCode>
                <c:ptCount val="101"/>
                <c:pt idx="0">
                  <c:v>-1.2259852917718304</c:v>
                </c:pt>
                <c:pt idx="1">
                  <c:v>-1.217193298871676</c:v>
                </c:pt>
                <c:pt idx="2">
                  <c:v>-1.2084369525523235</c:v>
                </c:pt>
                <c:pt idx="3">
                  <c:v>-1.1997153861468135</c:v>
                </c:pt>
                <c:pt idx="4">
                  <c:v>-1.191027747036312</c:v>
                </c:pt>
                <c:pt idx="5">
                  <c:v>-1.182373195912807</c:v>
                </c:pt>
                <c:pt idx="6">
                  <c:v>-1.1737509060588018</c:v>
                </c:pt>
                <c:pt idx="7">
                  <c:v>-1.1651600626424274</c:v>
                </c:pt>
                <c:pt idx="8">
                  <c:v>-1.1565998620264455</c:v>
                </c:pt>
                <c:pt idx="9">
                  <c:v>-1.1480695110896177</c:v>
                </c:pt>
                <c:pt idx="10">
                  <c:v>-1.1395682265589515</c:v>
                </c:pt>
                <c:pt idx="11">
                  <c:v>-1.1310952343513723</c:v>
                </c:pt>
                <c:pt idx="12">
                  <c:v>-1.1226497689233355</c:v>
                </c:pt>
                <c:pt idx="13">
                  <c:v>-1.1142310726269371</c:v>
                </c:pt>
                <c:pt idx="14">
                  <c:v>-1.1058383950710675</c:v>
                </c:pt>
                <c:pt idx="15">
                  <c:v>-1.0974709924861366</c:v>
                </c:pt>
                <c:pt idx="16">
                  <c:v>-1.0891281270908881</c:v>
                </c:pt>
                <c:pt idx="17">
                  <c:v>-1.0808090664598002</c:v>
                </c:pt>
                <c:pt idx="18">
                  <c:v>-1.072513082887578</c:v>
                </c:pt>
                <c:pt idx="19">
                  <c:v>-1.0642394527604275</c:v>
                </c:pt>
                <c:pt idx="20">
                  <c:v>-1.0559874559054581</c:v>
                </c:pt>
                <c:pt idx="21">
                  <c:v>-1.0477563749512031</c:v>
                </c:pt>
                <c:pt idx="22">
                  <c:v>-1.0395454946724636</c:v>
                </c:pt>
                <c:pt idx="23">
                  <c:v>-1.0313541013273204</c:v>
                </c:pt>
                <c:pt idx="24">
                  <c:v>-1.0231814819828562</c:v>
                </c:pt>
                <c:pt idx="25">
                  <c:v>-1.0150269238275718</c:v>
                </c:pt>
                <c:pt idx="26">
                  <c:v>-1.0068897134683732</c:v>
                </c:pt>
                <c:pt idx="27">
                  <c:v>-0.99876913620987651</c:v>
                </c:pt>
                <c:pt idx="28">
                  <c:v>-0.99066447531362267</c:v>
                </c:pt>
                <c:pt idx="29">
                  <c:v>-0.98257501123464941</c:v>
                </c:pt>
                <c:pt idx="30">
                  <c:v>-0.97450002083265097</c:v>
                </c:pt>
                <c:pt idx="31">
                  <c:v>-0.9664387765547735</c:v>
                </c:pt>
                <c:pt idx="32">
                  <c:v>-0.95839054558685699</c:v>
                </c:pt>
                <c:pt idx="33">
                  <c:v>-0.95035458896965297</c:v>
                </c:pt>
                <c:pt idx="34">
                  <c:v>-0.94233016067627784</c:v>
                </c:pt>
                <c:pt idx="35">
                  <c:v>-0.93431650664681287</c:v>
                </c:pt>
                <c:pt idx="36">
                  <c:v>-0.92631286377560285</c:v>
                </c:pt>
                <c:pt idx="37">
                  <c:v>-0.91831845884637942</c:v>
                </c:pt>
                <c:pt idx="38">
                  <c:v>-0.91033250740987681</c:v>
                </c:pt>
                <c:pt idx="39">
                  <c:v>-0.9023542125980637</c:v>
                </c:pt>
                <c:pt idx="40">
                  <c:v>-0.89438276386854554</c:v>
                </c:pt>
                <c:pt idx="41">
                  <c:v>-0.88641733567199421</c:v>
                </c:pt>
                <c:pt idx="42">
                  <c:v>-0.8784570860347205</c:v>
                </c:pt>
                <c:pt idx="43">
                  <c:v>-0.87050115504764158</c:v>
                </c:pt>
                <c:pt idx="44">
                  <c:v>-0.86254866325191881</c:v>
                </c:pt>
                <c:pt idx="45">
                  <c:v>-0.85459870991044007</c:v>
                </c:pt>
                <c:pt idx="46">
                  <c:v>-0.84665037115306041</c:v>
                </c:pt>
                <c:pt idx="47">
                  <c:v>-0.83870269798206509</c:v>
                </c:pt>
                <c:pt idx="48">
                  <c:v>-0.83075471412270496</c:v>
                </c:pt>
                <c:pt idx="49">
                  <c:v>-0.82280541370173621</c:v>
                </c:pt>
                <c:pt idx="50">
                  <c:v>-0.81485375873476285</c:v>
                </c:pt>
                <c:pt idx="51">
                  <c:v>-0.8068986764006767</c:v>
                </c:pt>
                <c:pt idx="52">
                  <c:v>-0.79893905607861471</c:v>
                </c:pt>
                <c:pt idx="53">
                  <c:v>-0.79097374611953153</c:v>
                </c:pt>
                <c:pt idx="54">
                  <c:v>-0.78300155032062013</c:v>
                </c:pt>
                <c:pt idx="55">
                  <c:v>-0.7750212240663078</c:v>
                </c:pt>
                <c:pt idx="56">
                  <c:v>-0.76703147009431516</c:v>
                </c:pt>
                <c:pt idx="57">
                  <c:v>-0.75903093383908571</c:v>
                </c:pt>
                <c:pt idx="58">
                  <c:v>-0.7510181982976788</c:v>
                </c:pt>
                <c:pt idx="59">
                  <c:v>-0.74299177835464947</c:v>
                </c:pt>
                <c:pt idx="60">
                  <c:v>-0.73495011449233816</c:v>
                </c:pt>
                <c:pt idx="61">
                  <c:v>-0.72689156580094438</c:v>
                </c:pt>
                <c:pt idx="62">
                  <c:v>-0.7188144021884072</c:v>
                </c:pt>
                <c:pt idx="63">
                  <c:v>-0.71071679567286594</c:v>
                </c:pt>
                <c:pt idx="64">
                  <c:v>-0.7025968106197279</c:v>
                </c:pt>
                <c:pt idx="65">
                  <c:v>-0.69445239276036408</c:v>
                </c:pt>
                <c:pt idx="66">
                  <c:v>-0.68628135679858604</c:v>
                </c:pt>
                <c:pt idx="67">
                  <c:v>-0.67808137237422539</c:v>
                </c:pt>
                <c:pt idx="68">
                  <c:v>-0.66984994810674803</c:v>
                </c:pt>
                <c:pt idx="69">
                  <c:v>-0.66158441338532836</c:v>
                </c:pt>
                <c:pt idx="70">
                  <c:v>-0.65328189750107413</c:v>
                </c:pt>
                <c:pt idx="71">
                  <c:v>-0.64493930562859447</c:v>
                </c:pt>
                <c:pt idx="72">
                  <c:v>-0.63655329105246716</c:v>
                </c:pt>
                <c:pt idx="73">
                  <c:v>-0.6281202228922893</c:v>
                </c:pt>
                <c:pt idx="74">
                  <c:v>-0.61963614839824188</c:v>
                </c:pt>
                <c:pt idx="75">
                  <c:v>-0.61109674865428953</c:v>
                </c:pt>
                <c:pt idx="76">
                  <c:v>-0.6024972862200082</c:v>
                </c:pt>
                <c:pt idx="77">
                  <c:v>-0.59383254283897213</c:v>
                </c:pt>
                <c:pt idx="78">
                  <c:v>-0.58509674480534679</c:v>
                </c:pt>
                <c:pt idx="79">
                  <c:v>-0.57628347285858872</c:v>
                </c:pt>
                <c:pt idx="80">
                  <c:v>-0.56738555249279132</c:v>
                </c:pt>
                <c:pt idx="81">
                  <c:v>-0.55839491920919548</c:v>
                </c:pt>
                <c:pt idx="82">
                  <c:v>-0.54930245133736721</c:v>
                </c:pt>
                <c:pt idx="83">
                  <c:v>-0.54009776034047807</c:v>
                </c:pt>
                <c:pt idx="84">
                  <c:v>-0.53076892459184666</c:v>
                </c:pt>
                <c:pt idx="85">
                  <c:v>-0.52130214680295328</c:v>
                </c:pt>
                <c:pt idx="86">
                  <c:v>-0.51168130650962484</c:v>
                </c:pt>
                <c:pt idx="87">
                  <c:v>-0.50188736543884049</c:v>
                </c:pt>
                <c:pt idx="88">
                  <c:v>-0.49189756195673462</c:v>
                </c:pt>
                <c:pt idx="89">
                  <c:v>-0.48168429528279522</c:v>
                </c:pt>
                <c:pt idx="90">
                  <c:v>-0.47121353967068058</c:v>
                </c:pt>
                <c:pt idx="91">
                  <c:v>-0.46044252132445618</c:v>
                </c:pt>
                <c:pt idx="92">
                  <c:v>-0.4493161903099786</c:v>
                </c:pt>
                <c:pt idx="93">
                  <c:v>-0.4377616226102381</c:v>
                </c:pt>
                <c:pt idx="94">
                  <c:v>-0.42567864179137943</c:v>
                </c:pt>
                <c:pt idx="95">
                  <c:v>-0.41292297698761121</c:v>
                </c:pt>
                <c:pt idx="96">
                  <c:v>-0.39927309272699252</c:v>
                </c:pt>
                <c:pt idx="97">
                  <c:v>-0.38435581880416353</c:v>
                </c:pt>
                <c:pt idx="98">
                  <c:v>-0.36744293379064874</c:v>
                </c:pt>
                <c:pt idx="99">
                  <c:v>-0.34665245614443513</c:v>
                </c:pt>
                <c:pt idx="100">
                  <c:v>-0.30024131442397523</c:v>
                </c:pt>
              </c:numCache>
            </c:numRef>
          </c:xVal>
          <c:yVal>
            <c:numRef>
              <c:f>'R134a_Ts'!$C$8:$C$108</c:f>
              <c:numCache>
                <c:formatCode>General</c:formatCode>
                <c:ptCount val="101"/>
                <c:pt idx="0">
                  <c:v>-63.150000000000006</c:v>
                </c:pt>
                <c:pt idx="1">
                  <c:v>-61.507900000000006</c:v>
                </c:pt>
                <c:pt idx="2">
                  <c:v>-59.865800000000007</c:v>
                </c:pt>
                <c:pt idx="3">
                  <c:v>-58.223700000000008</c:v>
                </c:pt>
                <c:pt idx="4">
                  <c:v>-56.581600000000009</c:v>
                </c:pt>
                <c:pt idx="5">
                  <c:v>-54.93950000000001</c:v>
                </c:pt>
                <c:pt idx="6">
                  <c:v>-53.297400000000003</c:v>
                </c:pt>
                <c:pt idx="7">
                  <c:v>-51.655300000000004</c:v>
                </c:pt>
                <c:pt idx="8">
                  <c:v>-50.013200000000005</c:v>
                </c:pt>
                <c:pt idx="9">
                  <c:v>-48.371100000000006</c:v>
                </c:pt>
                <c:pt idx="10">
                  <c:v>-46.729000000000006</c:v>
                </c:pt>
                <c:pt idx="11">
                  <c:v>-45.0869</c:v>
                </c:pt>
                <c:pt idx="12">
                  <c:v>-43.444800000000001</c:v>
                </c:pt>
                <c:pt idx="13">
                  <c:v>-41.802700000000002</c:v>
                </c:pt>
                <c:pt idx="14">
                  <c:v>-40.160600000000002</c:v>
                </c:pt>
                <c:pt idx="15">
                  <c:v>-38.518500000000003</c:v>
                </c:pt>
                <c:pt idx="16">
                  <c:v>-36.876400000000004</c:v>
                </c:pt>
                <c:pt idx="17">
                  <c:v>-35.234300000000005</c:v>
                </c:pt>
                <c:pt idx="18">
                  <c:v>-33.592200000000005</c:v>
                </c:pt>
                <c:pt idx="19">
                  <c:v>-31.950100000000003</c:v>
                </c:pt>
                <c:pt idx="20">
                  <c:v>-30.308000000000007</c:v>
                </c:pt>
                <c:pt idx="21">
                  <c:v>-28.665900000000001</c:v>
                </c:pt>
                <c:pt idx="22">
                  <c:v>-27.023800000000001</c:v>
                </c:pt>
                <c:pt idx="23">
                  <c:v>-25.381700000000002</c:v>
                </c:pt>
                <c:pt idx="24">
                  <c:v>-23.739600000000003</c:v>
                </c:pt>
                <c:pt idx="25">
                  <c:v>-22.097500000000004</c:v>
                </c:pt>
                <c:pt idx="26">
                  <c:v>-20.455400000000004</c:v>
                </c:pt>
                <c:pt idx="27">
                  <c:v>-18.813300000000005</c:v>
                </c:pt>
                <c:pt idx="28">
                  <c:v>-17.171199999999999</c:v>
                </c:pt>
                <c:pt idx="29">
                  <c:v>-15.5291</c:v>
                </c:pt>
                <c:pt idx="30">
                  <c:v>-13.887</c:v>
                </c:pt>
                <c:pt idx="31">
                  <c:v>-12.244900000000001</c:v>
                </c:pt>
                <c:pt idx="32">
                  <c:v>-10.602800000000002</c:v>
                </c:pt>
                <c:pt idx="33">
                  <c:v>-8.9607000000000028</c:v>
                </c:pt>
                <c:pt idx="34">
                  <c:v>-7.3186000000000035</c:v>
                </c:pt>
                <c:pt idx="35">
                  <c:v>-5.6765000000000043</c:v>
                </c:pt>
                <c:pt idx="36">
                  <c:v>-4.0344000000000051</c:v>
                </c:pt>
                <c:pt idx="37">
                  <c:v>-2.3922999999999988</c:v>
                </c:pt>
                <c:pt idx="38">
                  <c:v>-0.75019999999999953</c:v>
                </c:pt>
                <c:pt idx="39">
                  <c:v>0.89189999999999259</c:v>
                </c:pt>
                <c:pt idx="40">
                  <c:v>2.5339999999999918</c:v>
                </c:pt>
                <c:pt idx="41">
                  <c:v>4.1761000000000053</c:v>
                </c:pt>
                <c:pt idx="42">
                  <c:v>5.8182000000000045</c:v>
                </c:pt>
                <c:pt idx="43">
                  <c:v>7.4603000000000037</c:v>
                </c:pt>
                <c:pt idx="44">
                  <c:v>9.1024000000000029</c:v>
                </c:pt>
                <c:pt idx="45">
                  <c:v>10.744500000000002</c:v>
                </c:pt>
                <c:pt idx="46">
                  <c:v>12.386600000000001</c:v>
                </c:pt>
                <c:pt idx="47">
                  <c:v>14.028700000000001</c:v>
                </c:pt>
                <c:pt idx="48">
                  <c:v>15.6708</c:v>
                </c:pt>
                <c:pt idx="49">
                  <c:v>17.312899999999999</c:v>
                </c:pt>
                <c:pt idx="50">
                  <c:v>18.954999999999998</c:v>
                </c:pt>
                <c:pt idx="51">
                  <c:v>20.597099999999998</c:v>
                </c:pt>
                <c:pt idx="52">
                  <c:v>22.239199999999997</c:v>
                </c:pt>
                <c:pt idx="53">
                  <c:v>23.881299999999996</c:v>
                </c:pt>
                <c:pt idx="54">
                  <c:v>25.523399999999995</c:v>
                </c:pt>
                <c:pt idx="55">
                  <c:v>27.165499999999994</c:v>
                </c:pt>
                <c:pt idx="56">
                  <c:v>28.807600000000008</c:v>
                </c:pt>
                <c:pt idx="57">
                  <c:v>30.449700000000007</c:v>
                </c:pt>
                <c:pt idx="58">
                  <c:v>32.091800000000006</c:v>
                </c:pt>
                <c:pt idx="59">
                  <c:v>33.733900000000006</c:v>
                </c:pt>
                <c:pt idx="60">
                  <c:v>35.376000000000005</c:v>
                </c:pt>
                <c:pt idx="61">
                  <c:v>37.018100000000004</c:v>
                </c:pt>
                <c:pt idx="62">
                  <c:v>38.660200000000003</c:v>
                </c:pt>
                <c:pt idx="63">
                  <c:v>40.302300000000002</c:v>
                </c:pt>
                <c:pt idx="64">
                  <c:v>41.944400000000002</c:v>
                </c:pt>
                <c:pt idx="65">
                  <c:v>43.586500000000001</c:v>
                </c:pt>
                <c:pt idx="66">
                  <c:v>45.2286</c:v>
                </c:pt>
                <c:pt idx="67">
                  <c:v>46.870699999999999</c:v>
                </c:pt>
                <c:pt idx="68">
                  <c:v>48.512799999999999</c:v>
                </c:pt>
                <c:pt idx="69">
                  <c:v>50.154899999999998</c:v>
                </c:pt>
                <c:pt idx="70">
                  <c:v>51.796999999999997</c:v>
                </c:pt>
                <c:pt idx="71">
                  <c:v>53.439099999999996</c:v>
                </c:pt>
                <c:pt idx="72">
                  <c:v>55.081199999999995</c:v>
                </c:pt>
                <c:pt idx="73">
                  <c:v>56.723300000000009</c:v>
                </c:pt>
                <c:pt idx="74">
                  <c:v>58.365400000000008</c:v>
                </c:pt>
                <c:pt idx="75">
                  <c:v>60.007500000000007</c:v>
                </c:pt>
                <c:pt idx="76">
                  <c:v>61.649600000000007</c:v>
                </c:pt>
                <c:pt idx="77">
                  <c:v>63.291700000000006</c:v>
                </c:pt>
                <c:pt idx="78">
                  <c:v>64.933799999999991</c:v>
                </c:pt>
                <c:pt idx="79">
                  <c:v>66.57589999999999</c:v>
                </c:pt>
                <c:pt idx="80">
                  <c:v>68.217999999999989</c:v>
                </c:pt>
                <c:pt idx="81">
                  <c:v>69.860100000000017</c:v>
                </c:pt>
                <c:pt idx="82">
                  <c:v>71.502200000000016</c:v>
                </c:pt>
                <c:pt idx="83">
                  <c:v>73.144300000000015</c:v>
                </c:pt>
                <c:pt idx="84">
                  <c:v>74.786400000000015</c:v>
                </c:pt>
                <c:pt idx="85">
                  <c:v>76.428500000000014</c:v>
                </c:pt>
                <c:pt idx="86">
                  <c:v>78.070600000000013</c:v>
                </c:pt>
                <c:pt idx="87">
                  <c:v>79.712700000000012</c:v>
                </c:pt>
                <c:pt idx="88">
                  <c:v>81.354800000000012</c:v>
                </c:pt>
                <c:pt idx="89">
                  <c:v>82.996900000000011</c:v>
                </c:pt>
                <c:pt idx="90">
                  <c:v>84.63900000000001</c:v>
                </c:pt>
                <c:pt idx="91">
                  <c:v>86.281100000000009</c:v>
                </c:pt>
                <c:pt idx="92">
                  <c:v>87.923200000000008</c:v>
                </c:pt>
                <c:pt idx="93">
                  <c:v>89.565300000000008</c:v>
                </c:pt>
                <c:pt idx="94">
                  <c:v>91.207400000000007</c:v>
                </c:pt>
                <c:pt idx="95">
                  <c:v>92.849500000000006</c:v>
                </c:pt>
                <c:pt idx="96">
                  <c:v>94.491600000000005</c:v>
                </c:pt>
                <c:pt idx="97">
                  <c:v>96.133700000000005</c:v>
                </c:pt>
                <c:pt idx="98">
                  <c:v>97.775800000000004</c:v>
                </c:pt>
                <c:pt idx="99">
                  <c:v>99.417900000000003</c:v>
                </c:pt>
                <c:pt idx="100">
                  <c:v>101.06</c:v>
                </c:pt>
              </c:numCache>
            </c:numRef>
          </c:yVal>
          <c:smooth val="1"/>
          <c:extLst>
            <c:ext xmlns:c16="http://schemas.microsoft.com/office/drawing/2014/chart" uri="{C3380CC4-5D6E-409C-BE32-E72D297353CC}">
              <c16:uniqueId val="{00000002-0809-47EE-B645-C1D490615D0F}"/>
            </c:ext>
          </c:extLst>
        </c:ser>
        <c:ser>
          <c:idx val="1"/>
          <c:order val="1"/>
          <c:spPr>
            <a:ln w="12700" cap="rnd">
              <a:solidFill>
                <a:schemeClr val="tx1"/>
              </a:solidFill>
              <a:round/>
            </a:ln>
            <a:effectLst/>
          </c:spPr>
          <c:marker>
            <c:symbol val="none"/>
          </c:marker>
          <c:xVal>
            <c:numRef>
              <c:f>'R134a_Ts'!$E$8:$E$108</c:f>
              <c:numCache>
                <c:formatCode>General</c:formatCode>
                <c:ptCount val="101"/>
                <c:pt idx="0">
                  <c:v>-9.780692655857845E-2</c:v>
                </c:pt>
                <c:pt idx="1">
                  <c:v>-0.10149512012441123</c:v>
                </c:pt>
                <c:pt idx="2">
                  <c:v>-0.10504547462153958</c:v>
                </c:pt>
                <c:pt idx="3">
                  <c:v>-0.10846216211675687</c:v>
                </c:pt>
                <c:pt idx="4">
                  <c:v>-0.11174924134342919</c:v>
                </c:pt>
                <c:pt idx="5">
                  <c:v>-0.11491066186173755</c:v>
                </c:pt>
                <c:pt idx="6">
                  <c:v>-0.11795026802650639</c:v>
                </c:pt>
                <c:pt idx="7">
                  <c:v>-0.12087180277673033</c:v>
                </c:pt>
                <c:pt idx="8">
                  <c:v>-0.12367891126002721</c:v>
                </c:pt>
                <c:pt idx="9">
                  <c:v>-0.12637514430440824</c:v>
                </c:pt>
                <c:pt idx="10">
                  <c:v>-0.1289639617489578</c:v>
                </c:pt>
                <c:pt idx="11">
                  <c:v>-0.13144873564425311</c:v>
                </c:pt>
                <c:pt idx="12">
                  <c:v>-0.13383275333265682</c:v>
                </c:pt>
                <c:pt idx="13">
                  <c:v>-0.13611922041792837</c:v>
                </c:pt>
                <c:pt idx="14">
                  <c:v>-0.13831126363298862</c:v>
                </c:pt>
                <c:pt idx="15">
                  <c:v>-0.1404119336140805</c:v>
                </c:pt>
                <c:pt idx="16">
                  <c:v>-0.14242420758902796</c:v>
                </c:pt>
                <c:pt idx="17">
                  <c:v>-0.14435099198680498</c:v>
                </c:pt>
                <c:pt idx="18">
                  <c:v>-0.14619512497516193</c:v>
                </c:pt>
                <c:pt idx="19">
                  <c:v>-0.14795937893264394</c:v>
                </c:pt>
                <c:pt idx="20">
                  <c:v>-0.14964646286097372</c:v>
                </c:pt>
                <c:pt idx="21">
                  <c:v>-0.15125902474342084</c:v>
                </c:pt>
                <c:pt idx="22">
                  <c:v>-0.15279965385450386</c:v>
                </c:pt>
                <c:pt idx="23">
                  <c:v>-0.15427088302610836</c:v>
                </c:pt>
                <c:pt idx="24">
                  <c:v>-0.15567519087490111</c:v>
                </c:pt>
                <c:pt idx="25">
                  <c:v>-0.1570150039957296</c:v>
                </c:pt>
                <c:pt idx="26">
                  <c:v>-0.15829269912557822</c:v>
                </c:pt>
                <c:pt idx="27">
                  <c:v>-0.15951060528254077</c:v>
                </c:pt>
                <c:pt idx="28">
                  <c:v>-0.16067100588421757</c:v>
                </c:pt>
                <c:pt idx="29">
                  <c:v>-0.16177614084991329</c:v>
                </c:pt>
                <c:pt idx="30">
                  <c:v>-0.16282820869104722</c:v>
                </c:pt>
                <c:pt idx="31">
                  <c:v>-0.16382936859422728</c:v>
                </c:pt>
                <c:pt idx="32">
                  <c:v>-0.16478174250154801</c:v>
                </c:pt>
                <c:pt idx="33">
                  <c:v>-0.16568741719281901</c:v>
                </c:pt>
                <c:pt idx="34">
                  <c:v>-0.16654844637460806</c:v>
                </c:pt>
                <c:pt idx="35">
                  <c:v>-0.16736685278122518</c:v>
                </c:pt>
                <c:pt idx="36">
                  <c:v>-0.16814463029306242</c:v>
                </c:pt>
                <c:pt idx="37">
                  <c:v>-0.16888374607804718</c:v>
                </c:pt>
                <c:pt idx="38">
                  <c:v>-0.1695861427623645</c:v>
                </c:pt>
                <c:pt idx="39">
                  <c:v>-0.17025374063708487</c:v>
                </c:pt>
                <c:pt idx="40">
                  <c:v>-0.17088843990787295</c:v>
                </c:pt>
                <c:pt idx="41">
                  <c:v>-0.17149212299558161</c:v>
                </c:pt>
                <c:pt idx="42">
                  <c:v>-0.17206665689626033</c:v>
                </c:pt>
                <c:pt idx="43">
                  <c:v>-0.17261389560992721</c:v>
                </c:pt>
                <c:pt idx="44">
                  <c:v>-0.17313568264840751</c:v>
                </c:pt>
                <c:pt idx="45">
                  <c:v>-0.17363385363361758</c:v>
                </c:pt>
                <c:pt idx="46">
                  <c:v>-0.17411023899891462</c:v>
                </c:pt>
                <c:pt idx="47">
                  <c:v>-0.17456666680755489</c:v>
                </c:pt>
                <c:pt idx="48">
                  <c:v>-0.17500496570391977</c:v>
                </c:pt>
                <c:pt idx="49">
                  <c:v>-0.17542696801505803</c:v>
                </c:pt>
                <c:pt idx="50">
                  <c:v>-0.17583451302221503</c:v>
                </c:pt>
                <c:pt idx="51">
                  <c:v>-0.17622945042453209</c:v>
                </c:pt>
                <c:pt idx="52">
                  <c:v>-0.17661364401993293</c:v>
                </c:pt>
                <c:pt idx="53">
                  <c:v>-0.17698897563156049</c:v>
                </c:pt>
                <c:pt idx="54">
                  <c:v>-0.17735734931196634</c:v>
                </c:pt>
                <c:pt idx="55">
                  <c:v>-0.17772069586175518</c:v>
                </c:pt>
                <c:pt idx="56">
                  <c:v>-0.17808097770463308</c:v>
                </c:pt>
                <c:pt idx="57">
                  <c:v>-0.17844019416696047</c:v>
                </c:pt>
                <c:pt idx="58">
                  <c:v>-0.1788003872171483</c:v>
                </c:pt>
                <c:pt idx="59">
                  <c:v>-0.17916364772877422</c:v>
                </c:pt>
                <c:pt idx="60">
                  <c:v>-0.17953212234140511</c:v>
                </c:pt>
                <c:pt idx="61">
                  <c:v>-0.17990802100515285</c:v>
                </c:pt>
                <c:pt idx="62">
                  <c:v>-0.18029362530934015</c:v>
                </c:pt>
                <c:pt idx="63">
                  <c:v>-0.18069129771288558</c:v>
                </c:pt>
                <c:pt idx="64">
                  <c:v>-0.1811034918147563</c:v>
                </c:pt>
                <c:pt idx="65">
                  <c:v>-0.18153276382794264</c:v>
                </c:pt>
                <c:pt idx="66">
                  <c:v>-0.1819817854509512</c:v>
                </c:pt>
                <c:pt idx="67">
                  <c:v>-0.18245335836814405</c:v>
                </c:pt>
                <c:pt idx="68">
                  <c:v>-0.18295043065616048</c:v>
                </c:pt>
                <c:pt idx="69">
                  <c:v>-0.18347611543042194</c:v>
                </c:pt>
                <c:pt idx="70">
                  <c:v>-0.18403371213638309</c:v>
                </c:pt>
                <c:pt idx="71">
                  <c:v>-0.18462673097867041</c:v>
                </c:pt>
                <c:pt idx="72">
                  <c:v>-0.18525892109289535</c:v>
                </c:pt>
                <c:pt idx="73">
                  <c:v>-0.18593430320679499</c:v>
                </c:pt>
                <c:pt idx="74">
                  <c:v>-0.18665720771909627</c:v>
                </c:pt>
                <c:pt idx="75">
                  <c:v>-0.1874323193593013</c:v>
                </c:pt>
                <c:pt idx="76">
                  <c:v>-0.18826472989771459</c:v>
                </c:pt>
                <c:pt idx="77">
                  <c:v>-0.18916000077809514</c:v>
                </c:pt>
                <c:pt idx="78">
                  <c:v>-0.19012423808158141</c:v>
                </c:pt>
                <c:pt idx="79">
                  <c:v>-0.1911641829522861</c:v>
                </c:pt>
                <c:pt idx="80">
                  <c:v>-0.19228732159830905</c:v>
                </c:pt>
                <c:pt idx="81">
                  <c:v>-0.19350202033993175</c:v>
                </c:pt>
                <c:pt idx="82">
                  <c:v>-0.19481769307976435</c:v>
                </c:pt>
                <c:pt idx="83">
                  <c:v>-0.19624501127967553</c:v>
                </c:pt>
                <c:pt idx="84">
                  <c:v>-0.19779617045761838</c:v>
                </c:pt>
                <c:pt idx="85">
                  <c:v>-0.19948523302437268</c:v>
                </c:pt>
                <c:pt idx="86">
                  <c:v>-0.20132857605378379</c:v>
                </c:pt>
                <c:pt idx="87">
                  <c:v>-0.20334548616425677</c:v>
                </c:pt>
                <c:pt idx="88">
                  <c:v>-0.20555896531120674</c:v>
                </c:pt>
                <c:pt idx="89">
                  <c:v>-0.20799684680563255</c:v>
                </c:pt>
                <c:pt idx="90">
                  <c:v>-0.21069338135867458</c:v>
                </c:pt>
                <c:pt idx="91">
                  <c:v>-0.21369156038353779</c:v>
                </c:pt>
                <c:pt idx="92">
                  <c:v>-0.21704664429526616</c:v>
                </c:pt>
                <c:pt idx="93">
                  <c:v>-0.22083176065975696</c:v>
                </c:pt>
                <c:pt idx="94">
                  <c:v>-0.22514728272550219</c:v>
                </c:pt>
                <c:pt idx="95">
                  <c:v>-0.23013767163002136</c:v>
                </c:pt>
                <c:pt idx="96">
                  <c:v>-0.23602464675920201</c:v>
                </c:pt>
                <c:pt idx="97">
                  <c:v>-0.2431815560536173</c:v>
                </c:pt>
                <c:pt idx="98">
                  <c:v>-0.25233679267143277</c:v>
                </c:pt>
                <c:pt idx="99">
                  <c:v>-0.26537250404628365</c:v>
                </c:pt>
                <c:pt idx="100">
                  <c:v>-0.30024131442397523</c:v>
                </c:pt>
              </c:numCache>
            </c:numRef>
          </c:xVal>
          <c:yVal>
            <c:numRef>
              <c:f>'R134a_Ts'!$F$8:$F$108</c:f>
              <c:numCache>
                <c:formatCode>General</c:formatCode>
                <c:ptCount val="101"/>
                <c:pt idx="0">
                  <c:v>-63.150000000000006</c:v>
                </c:pt>
                <c:pt idx="1">
                  <c:v>-61.507900000000006</c:v>
                </c:pt>
                <c:pt idx="2">
                  <c:v>-59.865800000000007</c:v>
                </c:pt>
                <c:pt idx="3">
                  <c:v>-58.223700000000008</c:v>
                </c:pt>
                <c:pt idx="4">
                  <c:v>-56.581600000000009</c:v>
                </c:pt>
                <c:pt idx="5">
                  <c:v>-54.93950000000001</c:v>
                </c:pt>
                <c:pt idx="6">
                  <c:v>-53.297400000000003</c:v>
                </c:pt>
                <c:pt idx="7">
                  <c:v>-51.655300000000004</c:v>
                </c:pt>
                <c:pt idx="8">
                  <c:v>-50.013200000000005</c:v>
                </c:pt>
                <c:pt idx="9">
                  <c:v>-48.371100000000006</c:v>
                </c:pt>
                <c:pt idx="10">
                  <c:v>-46.729000000000006</c:v>
                </c:pt>
                <c:pt idx="11">
                  <c:v>-45.0869</c:v>
                </c:pt>
                <c:pt idx="12">
                  <c:v>-43.444800000000001</c:v>
                </c:pt>
                <c:pt idx="13">
                  <c:v>-41.802700000000002</c:v>
                </c:pt>
                <c:pt idx="14">
                  <c:v>-40.160600000000002</c:v>
                </c:pt>
                <c:pt idx="15">
                  <c:v>-38.518500000000003</c:v>
                </c:pt>
                <c:pt idx="16">
                  <c:v>-36.876400000000004</c:v>
                </c:pt>
                <c:pt idx="17">
                  <c:v>-35.234300000000005</c:v>
                </c:pt>
                <c:pt idx="18">
                  <c:v>-33.592200000000005</c:v>
                </c:pt>
                <c:pt idx="19">
                  <c:v>-31.950100000000003</c:v>
                </c:pt>
                <c:pt idx="20">
                  <c:v>-30.308000000000007</c:v>
                </c:pt>
                <c:pt idx="21">
                  <c:v>-28.665900000000001</c:v>
                </c:pt>
                <c:pt idx="22">
                  <c:v>-27.023800000000001</c:v>
                </c:pt>
                <c:pt idx="23">
                  <c:v>-25.381700000000002</c:v>
                </c:pt>
                <c:pt idx="24">
                  <c:v>-23.739600000000003</c:v>
                </c:pt>
                <c:pt idx="25">
                  <c:v>-22.097500000000004</c:v>
                </c:pt>
                <c:pt idx="26">
                  <c:v>-20.455400000000004</c:v>
                </c:pt>
                <c:pt idx="27">
                  <c:v>-18.813300000000005</c:v>
                </c:pt>
                <c:pt idx="28">
                  <c:v>-17.171199999999999</c:v>
                </c:pt>
                <c:pt idx="29">
                  <c:v>-15.5291</c:v>
                </c:pt>
                <c:pt idx="30">
                  <c:v>-13.887</c:v>
                </c:pt>
                <c:pt idx="31">
                  <c:v>-12.244900000000001</c:v>
                </c:pt>
                <c:pt idx="32">
                  <c:v>-10.602800000000002</c:v>
                </c:pt>
                <c:pt idx="33">
                  <c:v>-8.9607000000000028</c:v>
                </c:pt>
                <c:pt idx="34">
                  <c:v>-7.3186000000000035</c:v>
                </c:pt>
                <c:pt idx="35">
                  <c:v>-5.6765000000000043</c:v>
                </c:pt>
                <c:pt idx="36">
                  <c:v>-4.0344000000000051</c:v>
                </c:pt>
                <c:pt idx="37">
                  <c:v>-2.3922999999999988</c:v>
                </c:pt>
                <c:pt idx="38">
                  <c:v>-0.75019999999999953</c:v>
                </c:pt>
                <c:pt idx="39">
                  <c:v>0.89189999999999259</c:v>
                </c:pt>
                <c:pt idx="40">
                  <c:v>2.5339999999999918</c:v>
                </c:pt>
                <c:pt idx="41">
                  <c:v>4.1761000000000053</c:v>
                </c:pt>
                <c:pt idx="42">
                  <c:v>5.8182000000000045</c:v>
                </c:pt>
                <c:pt idx="43">
                  <c:v>7.4603000000000037</c:v>
                </c:pt>
                <c:pt idx="44">
                  <c:v>9.1024000000000029</c:v>
                </c:pt>
                <c:pt idx="45">
                  <c:v>10.744500000000002</c:v>
                </c:pt>
                <c:pt idx="46">
                  <c:v>12.386600000000001</c:v>
                </c:pt>
                <c:pt idx="47">
                  <c:v>14.028700000000001</c:v>
                </c:pt>
                <c:pt idx="48">
                  <c:v>15.6708</c:v>
                </c:pt>
                <c:pt idx="49">
                  <c:v>17.312899999999999</c:v>
                </c:pt>
                <c:pt idx="50">
                  <c:v>18.954999999999998</c:v>
                </c:pt>
                <c:pt idx="51">
                  <c:v>20.597099999999998</c:v>
                </c:pt>
                <c:pt idx="52">
                  <c:v>22.239199999999997</c:v>
                </c:pt>
                <c:pt idx="53">
                  <c:v>23.881299999999996</c:v>
                </c:pt>
                <c:pt idx="54">
                  <c:v>25.523399999999995</c:v>
                </c:pt>
                <c:pt idx="55">
                  <c:v>27.165499999999994</c:v>
                </c:pt>
                <c:pt idx="56">
                  <c:v>28.807600000000008</c:v>
                </c:pt>
                <c:pt idx="57">
                  <c:v>30.449700000000007</c:v>
                </c:pt>
                <c:pt idx="58">
                  <c:v>32.091800000000006</c:v>
                </c:pt>
                <c:pt idx="59">
                  <c:v>33.733900000000006</c:v>
                </c:pt>
                <c:pt idx="60">
                  <c:v>35.376000000000005</c:v>
                </c:pt>
                <c:pt idx="61">
                  <c:v>37.018100000000004</c:v>
                </c:pt>
                <c:pt idx="62">
                  <c:v>38.660200000000003</c:v>
                </c:pt>
                <c:pt idx="63">
                  <c:v>40.302300000000002</c:v>
                </c:pt>
                <c:pt idx="64">
                  <c:v>41.944400000000002</c:v>
                </c:pt>
                <c:pt idx="65">
                  <c:v>43.586500000000001</c:v>
                </c:pt>
                <c:pt idx="66">
                  <c:v>45.2286</c:v>
                </c:pt>
                <c:pt idx="67">
                  <c:v>46.870699999999999</c:v>
                </c:pt>
                <c:pt idx="68">
                  <c:v>48.512799999999999</c:v>
                </c:pt>
                <c:pt idx="69">
                  <c:v>50.154899999999998</c:v>
                </c:pt>
                <c:pt idx="70">
                  <c:v>51.796999999999997</c:v>
                </c:pt>
                <c:pt idx="71">
                  <c:v>53.439099999999996</c:v>
                </c:pt>
                <c:pt idx="72">
                  <c:v>55.081199999999995</c:v>
                </c:pt>
                <c:pt idx="73">
                  <c:v>56.723300000000009</c:v>
                </c:pt>
                <c:pt idx="74">
                  <c:v>58.365400000000008</c:v>
                </c:pt>
                <c:pt idx="75">
                  <c:v>60.007500000000007</c:v>
                </c:pt>
                <c:pt idx="76">
                  <c:v>61.649600000000007</c:v>
                </c:pt>
                <c:pt idx="77">
                  <c:v>63.291700000000006</c:v>
                </c:pt>
                <c:pt idx="78">
                  <c:v>64.933799999999991</c:v>
                </c:pt>
                <c:pt idx="79">
                  <c:v>66.57589999999999</c:v>
                </c:pt>
                <c:pt idx="80">
                  <c:v>68.217999999999989</c:v>
                </c:pt>
                <c:pt idx="81">
                  <c:v>69.860100000000017</c:v>
                </c:pt>
                <c:pt idx="82">
                  <c:v>71.502200000000016</c:v>
                </c:pt>
                <c:pt idx="83">
                  <c:v>73.144300000000015</c:v>
                </c:pt>
                <c:pt idx="84">
                  <c:v>74.786400000000015</c:v>
                </c:pt>
                <c:pt idx="85">
                  <c:v>76.428500000000014</c:v>
                </c:pt>
                <c:pt idx="86">
                  <c:v>78.070600000000013</c:v>
                </c:pt>
                <c:pt idx="87">
                  <c:v>79.712700000000012</c:v>
                </c:pt>
                <c:pt idx="88">
                  <c:v>81.354800000000012</c:v>
                </c:pt>
                <c:pt idx="89">
                  <c:v>82.996900000000011</c:v>
                </c:pt>
                <c:pt idx="90">
                  <c:v>84.63900000000001</c:v>
                </c:pt>
                <c:pt idx="91">
                  <c:v>86.281100000000009</c:v>
                </c:pt>
                <c:pt idx="92">
                  <c:v>87.923200000000008</c:v>
                </c:pt>
                <c:pt idx="93">
                  <c:v>89.565300000000008</c:v>
                </c:pt>
                <c:pt idx="94">
                  <c:v>91.207400000000007</c:v>
                </c:pt>
                <c:pt idx="95">
                  <c:v>92.849500000000006</c:v>
                </c:pt>
                <c:pt idx="96">
                  <c:v>94.491600000000005</c:v>
                </c:pt>
                <c:pt idx="97">
                  <c:v>96.133700000000005</c:v>
                </c:pt>
                <c:pt idx="98">
                  <c:v>97.775800000000004</c:v>
                </c:pt>
                <c:pt idx="99">
                  <c:v>99.417900000000003</c:v>
                </c:pt>
                <c:pt idx="100">
                  <c:v>101.06</c:v>
                </c:pt>
              </c:numCache>
            </c:numRef>
          </c:yVal>
          <c:smooth val="1"/>
          <c:extLst>
            <c:ext xmlns:c16="http://schemas.microsoft.com/office/drawing/2014/chart" uri="{C3380CC4-5D6E-409C-BE32-E72D297353CC}">
              <c16:uniqueId val="{00000003-0809-47EE-B645-C1D490615D0F}"/>
            </c:ext>
          </c:extLst>
        </c:ser>
        <c:ser>
          <c:idx val="2"/>
          <c:order val="2"/>
          <c:tx>
            <c:strRef>
              <c:f>'R134a_Ts'!$J$20:$K$20</c:f>
              <c:strCache>
                <c:ptCount val="1"/>
                <c:pt idx="0">
                  <c:v>HCS1</c:v>
                </c:pt>
              </c:strCache>
            </c:strRef>
          </c:tx>
          <c:spPr>
            <a:ln w="19050" cap="rnd">
              <a:solidFill>
                <a:srgbClr val="FF0000"/>
              </a:solidFill>
              <a:round/>
            </a:ln>
            <a:effectLst/>
          </c:spPr>
          <c:marker>
            <c:symbol val="none"/>
          </c:marker>
          <c:xVal>
            <c:numRef>
              <c:f>'R134a_Ts'!$J$22:$J$23</c:f>
              <c:numCache>
                <c:formatCode>General</c:formatCode>
                <c:ptCount val="2"/>
              </c:numCache>
            </c:numRef>
          </c:xVal>
          <c:yVal>
            <c:numRef>
              <c:f>'R134a_Ts'!$K$22:$K$23</c:f>
              <c:numCache>
                <c:formatCode>General</c:formatCode>
                <c:ptCount val="2"/>
              </c:numCache>
            </c:numRef>
          </c:yVal>
          <c:smooth val="1"/>
          <c:extLst>
            <c:ext xmlns:c16="http://schemas.microsoft.com/office/drawing/2014/chart" uri="{C3380CC4-5D6E-409C-BE32-E72D297353CC}">
              <c16:uniqueId val="{00000004-0809-47EE-B645-C1D490615D0F}"/>
            </c:ext>
          </c:extLst>
        </c:ser>
        <c:ser>
          <c:idx val="3"/>
          <c:order val="3"/>
          <c:tx>
            <c:strRef>
              <c:f>'R134a_Ts'!$L$20:$M$20</c:f>
              <c:strCache>
                <c:ptCount val="1"/>
                <c:pt idx="0">
                  <c:v>HCS2</c:v>
                </c:pt>
              </c:strCache>
            </c:strRef>
          </c:tx>
          <c:spPr>
            <a:ln w="19050" cap="rnd">
              <a:solidFill>
                <a:srgbClr val="FF0000"/>
              </a:solidFill>
              <a:round/>
            </a:ln>
            <a:effectLst/>
          </c:spPr>
          <c:marker>
            <c:symbol val="none"/>
          </c:marker>
          <c:xVal>
            <c:numRef>
              <c:f>'R134a_Ts'!$L$22:$L$23</c:f>
              <c:numCache>
                <c:formatCode>General</c:formatCode>
                <c:ptCount val="2"/>
                <c:pt idx="0">
                  <c:v>-0.78549999999999998</c:v>
                </c:pt>
                <c:pt idx="1">
                  <c:v>-0.61280000000000001</c:v>
                </c:pt>
              </c:numCache>
            </c:numRef>
          </c:xVal>
          <c:yVal>
            <c:numRef>
              <c:f>'R134a_Ts'!$M$22:$M$23</c:f>
              <c:numCache>
                <c:formatCode>General</c:formatCode>
                <c:ptCount val="2"/>
                <c:pt idx="0">
                  <c:v>25.84</c:v>
                </c:pt>
                <c:pt idx="1">
                  <c:v>60</c:v>
                </c:pt>
              </c:numCache>
            </c:numRef>
          </c:yVal>
          <c:smooth val="1"/>
          <c:extLst>
            <c:ext xmlns:c16="http://schemas.microsoft.com/office/drawing/2014/chart" uri="{C3380CC4-5D6E-409C-BE32-E72D297353CC}">
              <c16:uniqueId val="{00000005-0809-47EE-B645-C1D490615D0F}"/>
            </c:ext>
          </c:extLst>
        </c:ser>
        <c:ser>
          <c:idx val="4"/>
          <c:order val="4"/>
          <c:tx>
            <c:v>HCS3_1</c:v>
          </c:tx>
          <c:spPr>
            <a:ln w="19050" cap="rnd">
              <a:solidFill>
                <a:srgbClr val="FF0000"/>
              </a:solidFill>
              <a:round/>
            </a:ln>
            <a:effectLst/>
          </c:spPr>
          <c:marker>
            <c:symbol val="none"/>
          </c:marker>
          <c:xVal>
            <c:numRef>
              <c:f>'R134a_Ts'!$N$22:$N$23</c:f>
              <c:numCache>
                <c:formatCode>General</c:formatCode>
                <c:ptCount val="2"/>
                <c:pt idx="0">
                  <c:v>-0.61280000000000001</c:v>
                </c:pt>
                <c:pt idx="1">
                  <c:v>-0.58474298869431096</c:v>
                </c:pt>
              </c:numCache>
            </c:numRef>
          </c:xVal>
          <c:yVal>
            <c:numRef>
              <c:f>'R134a_Ts'!$O$22:$O$23</c:f>
              <c:numCache>
                <c:formatCode>General</c:formatCode>
                <c:ptCount val="2"/>
                <c:pt idx="0">
                  <c:v>60</c:v>
                </c:pt>
                <c:pt idx="1">
                  <c:v>65</c:v>
                </c:pt>
              </c:numCache>
            </c:numRef>
          </c:yVal>
          <c:smooth val="1"/>
          <c:extLst>
            <c:ext xmlns:c16="http://schemas.microsoft.com/office/drawing/2014/chart" uri="{C3380CC4-5D6E-409C-BE32-E72D297353CC}">
              <c16:uniqueId val="{00000006-0809-47EE-B645-C1D490615D0F}"/>
            </c:ext>
          </c:extLst>
        </c:ser>
        <c:ser>
          <c:idx val="5"/>
          <c:order val="5"/>
          <c:tx>
            <c:v>HCS3_2</c:v>
          </c:tx>
          <c:spPr>
            <a:ln w="19050" cap="rnd">
              <a:solidFill>
                <a:srgbClr val="FF0000"/>
              </a:solidFill>
              <a:round/>
            </a:ln>
            <a:effectLst/>
          </c:spPr>
          <c:marker>
            <c:symbol val="none"/>
          </c:marker>
          <c:xVal>
            <c:numRef>
              <c:f>'R134a_Ts'!$N$23:$N$24</c:f>
              <c:numCache>
                <c:formatCode>General</c:formatCode>
                <c:ptCount val="2"/>
                <c:pt idx="0">
                  <c:v>-0.58474298869431096</c:v>
                </c:pt>
                <c:pt idx="1">
                  <c:v>-0.19020000000000001</c:v>
                </c:pt>
              </c:numCache>
            </c:numRef>
          </c:xVal>
          <c:yVal>
            <c:numRef>
              <c:f>'R134a_Ts'!$O$23:$O$24</c:f>
              <c:numCache>
                <c:formatCode>General</c:formatCode>
                <c:ptCount val="2"/>
                <c:pt idx="0">
                  <c:v>65</c:v>
                </c:pt>
                <c:pt idx="1">
                  <c:v>65</c:v>
                </c:pt>
              </c:numCache>
            </c:numRef>
          </c:yVal>
          <c:smooth val="1"/>
          <c:extLst>
            <c:ext xmlns:c16="http://schemas.microsoft.com/office/drawing/2014/chart" uri="{C3380CC4-5D6E-409C-BE32-E72D297353CC}">
              <c16:uniqueId val="{00000007-0809-47EE-B645-C1D490615D0F}"/>
            </c:ext>
          </c:extLst>
        </c:ser>
        <c:ser>
          <c:idx val="6"/>
          <c:order val="6"/>
          <c:tx>
            <c:strRef>
              <c:f>'R134a_Ts'!$P$20:$Q$20</c:f>
              <c:strCache>
                <c:ptCount val="1"/>
                <c:pt idx="0">
                  <c:v>Turbi</c:v>
                </c:pt>
              </c:strCache>
            </c:strRef>
          </c:tx>
          <c:spPr>
            <a:ln w="19050" cap="rnd">
              <a:solidFill>
                <a:srgbClr val="FF0000"/>
              </a:solidFill>
              <a:round/>
            </a:ln>
            <a:effectLst/>
          </c:spPr>
          <c:marker>
            <c:symbol val="none"/>
          </c:marker>
          <c:xVal>
            <c:numRef>
              <c:f>'R134a_Ts'!$P$22:$P$23</c:f>
              <c:numCache>
                <c:formatCode>General</c:formatCode>
                <c:ptCount val="2"/>
                <c:pt idx="0">
                  <c:v>-0.19020000000000001</c:v>
                </c:pt>
                <c:pt idx="1">
                  <c:v>-0.1704</c:v>
                </c:pt>
              </c:numCache>
            </c:numRef>
          </c:xVal>
          <c:yVal>
            <c:numRef>
              <c:f>'R134a_Ts'!$Q$22:$Q$23</c:f>
              <c:numCache>
                <c:formatCode>General</c:formatCode>
                <c:ptCount val="2"/>
                <c:pt idx="0">
                  <c:v>65</c:v>
                </c:pt>
                <c:pt idx="1">
                  <c:v>27.26</c:v>
                </c:pt>
              </c:numCache>
            </c:numRef>
          </c:yVal>
          <c:smooth val="1"/>
          <c:extLst>
            <c:ext xmlns:c16="http://schemas.microsoft.com/office/drawing/2014/chart" uri="{C3380CC4-5D6E-409C-BE32-E72D297353CC}">
              <c16:uniqueId val="{00000008-0809-47EE-B645-C1D490615D0F}"/>
            </c:ext>
          </c:extLst>
        </c:ser>
        <c:ser>
          <c:idx val="7"/>
          <c:order val="7"/>
          <c:tx>
            <c:v>Kondi_1</c:v>
          </c:tx>
          <c:spPr>
            <a:ln w="19050" cap="rnd">
              <a:solidFill>
                <a:schemeClr val="accent2">
                  <a:lumMod val="60000"/>
                </a:schemeClr>
              </a:solidFill>
              <a:round/>
            </a:ln>
            <a:effectLst/>
          </c:spPr>
          <c:marker>
            <c:symbol val="none"/>
          </c:marker>
          <c:xVal>
            <c:numRef>
              <c:f>'R134a_Ts'!$R$22:$R$23</c:f>
              <c:numCache>
                <c:formatCode>General</c:formatCode>
                <c:ptCount val="2"/>
                <c:pt idx="0">
                  <c:v>-0.1704</c:v>
                </c:pt>
                <c:pt idx="1">
                  <c:v>-0.17724057309068811</c:v>
                </c:pt>
              </c:numCache>
            </c:numRef>
          </c:xVal>
          <c:yVal>
            <c:numRef>
              <c:f>'R134a_Ts'!$S$22:$S$23</c:f>
              <c:numCache>
                <c:formatCode>General</c:formatCode>
                <c:ptCount val="2"/>
                <c:pt idx="0">
                  <c:v>27.26</c:v>
                </c:pt>
                <c:pt idx="1">
                  <c:v>25</c:v>
                </c:pt>
              </c:numCache>
            </c:numRef>
          </c:yVal>
          <c:smooth val="1"/>
          <c:extLst>
            <c:ext xmlns:c16="http://schemas.microsoft.com/office/drawing/2014/chart" uri="{C3380CC4-5D6E-409C-BE32-E72D297353CC}">
              <c16:uniqueId val="{00000009-0809-47EE-B645-C1D490615D0F}"/>
            </c:ext>
          </c:extLst>
        </c:ser>
        <c:ser>
          <c:idx val="8"/>
          <c:order val="8"/>
          <c:tx>
            <c:v>Kondi_2</c:v>
          </c:tx>
          <c:spPr>
            <a:ln w="19050" cap="rnd">
              <a:solidFill>
                <a:srgbClr val="FF0000"/>
              </a:solidFill>
              <a:round/>
            </a:ln>
            <a:effectLst/>
          </c:spPr>
          <c:marker>
            <c:symbol val="none"/>
          </c:marker>
          <c:xVal>
            <c:numRef>
              <c:f>'R134a_Ts'!$R$23:$R$24</c:f>
              <c:numCache>
                <c:formatCode>General</c:formatCode>
                <c:ptCount val="2"/>
                <c:pt idx="0">
                  <c:v>-0.17724057309068811</c:v>
                </c:pt>
                <c:pt idx="1">
                  <c:v>-0.78549999999999998</c:v>
                </c:pt>
              </c:numCache>
            </c:numRef>
          </c:xVal>
          <c:yVal>
            <c:numRef>
              <c:f>'R134a_Ts'!$S$23:$S$24</c:f>
              <c:numCache>
                <c:formatCode>General</c:formatCode>
                <c:ptCount val="2"/>
                <c:pt idx="0">
                  <c:v>25</c:v>
                </c:pt>
                <c:pt idx="1">
                  <c:v>25</c:v>
                </c:pt>
              </c:numCache>
            </c:numRef>
          </c:yVal>
          <c:smooth val="1"/>
          <c:extLst>
            <c:ext xmlns:c16="http://schemas.microsoft.com/office/drawing/2014/chart" uri="{C3380CC4-5D6E-409C-BE32-E72D297353CC}">
              <c16:uniqueId val="{0000000A-0809-47EE-B645-C1D490615D0F}"/>
            </c:ext>
          </c:extLst>
        </c:ser>
        <c:ser>
          <c:idx val="9"/>
          <c:order val="9"/>
          <c:tx>
            <c:strRef>
              <c:f>'R134a_Ts'!$T$20:$U$20</c:f>
              <c:strCache>
                <c:ptCount val="1"/>
                <c:pt idx="0">
                  <c:v>Sziv</c:v>
                </c:pt>
              </c:strCache>
            </c:strRef>
          </c:tx>
          <c:spPr>
            <a:ln w="19050" cap="rnd">
              <a:solidFill>
                <a:srgbClr val="FF0000"/>
              </a:solidFill>
              <a:round/>
            </a:ln>
            <a:effectLst/>
          </c:spPr>
          <c:marker>
            <c:symbol val="none"/>
          </c:marker>
          <c:xVal>
            <c:numRef>
              <c:f>'R134a_Ts'!$T$22:$T$23</c:f>
              <c:numCache>
                <c:formatCode>General</c:formatCode>
                <c:ptCount val="2"/>
                <c:pt idx="0">
                  <c:v>-0.78549999999999998</c:v>
                </c:pt>
                <c:pt idx="1">
                  <c:v>-0.78549999999999998</c:v>
                </c:pt>
              </c:numCache>
            </c:numRef>
          </c:xVal>
          <c:yVal>
            <c:numRef>
              <c:f>'R134a_Ts'!$U$22:$U$23</c:f>
              <c:numCache>
                <c:formatCode>General</c:formatCode>
                <c:ptCount val="2"/>
                <c:pt idx="0">
                  <c:v>25</c:v>
                </c:pt>
                <c:pt idx="1">
                  <c:v>25.84</c:v>
                </c:pt>
              </c:numCache>
            </c:numRef>
          </c:yVal>
          <c:smooth val="1"/>
          <c:extLst>
            <c:ext xmlns:c16="http://schemas.microsoft.com/office/drawing/2014/chart" uri="{C3380CC4-5D6E-409C-BE32-E72D297353CC}">
              <c16:uniqueId val="{0000000B-0809-47EE-B645-C1D490615D0F}"/>
            </c:ext>
          </c:extLst>
        </c:ser>
        <c:dLbls>
          <c:showLegendKey val="0"/>
          <c:showVal val="0"/>
          <c:showCatName val="0"/>
          <c:showSerName val="0"/>
          <c:showPercent val="0"/>
          <c:showBubbleSize val="0"/>
        </c:dLbls>
        <c:axId val="1470916608"/>
        <c:axId val="1657700880"/>
      </c:scatterChart>
      <c:valAx>
        <c:axId val="1470916608"/>
        <c:scaling>
          <c:orientation val="minMax"/>
          <c:min val="-1.3"/>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hu-HU"/>
                  <a:t>s [kJ/(kgK)]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1657700880"/>
        <c:crossesAt val="-80"/>
        <c:crossBetween val="midCat"/>
      </c:valAx>
      <c:valAx>
        <c:axId val="1657700880"/>
        <c:scaling>
          <c:orientation val="minMax"/>
          <c:min val="-8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a:t>T</a:t>
                </a:r>
                <a:r>
                  <a:rPr lang="hu-HU"/>
                  <a:t> [°C]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1470916608"/>
        <c:crossesAt val="-1.3"/>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Palatino Linotype" panose="0204050205050503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CD8E-14C3-4F48-9981-5C7A4781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28731</Words>
  <Characters>163770</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dc:creator>
  <cp:keywords/>
  <dc:description/>
  <cp:lastModifiedBy>Attila</cp:lastModifiedBy>
  <cp:revision>3</cp:revision>
  <dcterms:created xsi:type="dcterms:W3CDTF">2022-01-10T07:58:00Z</dcterms:created>
  <dcterms:modified xsi:type="dcterms:W3CDTF">2022-02-15T09:45:00Z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4a24ab1b-e02a-39d9-8eba-5dc7ab238f62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